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5B" w:rsidRDefault="007B1A5B" w:rsidP="007B1A5B">
      <w:pPr>
        <w:spacing w:after="0" w:line="240" w:lineRule="auto"/>
        <w:jc w:val="center"/>
        <w:rPr>
          <w:b/>
          <w:sz w:val="36"/>
        </w:rPr>
      </w:pPr>
      <w:bookmarkStart w:id="0" w:name="_Toc353377739"/>
      <w:bookmarkStart w:id="1" w:name="_Toc287392744"/>
      <w:bookmarkStart w:id="2" w:name="_GoBack"/>
      <w:bookmarkEnd w:id="2"/>
    </w:p>
    <w:p w:rsidR="007B1A5B" w:rsidRDefault="007B1A5B" w:rsidP="007B1A5B">
      <w:pPr>
        <w:spacing w:after="0" w:line="240" w:lineRule="auto"/>
        <w:jc w:val="center"/>
        <w:rPr>
          <w:b/>
          <w:sz w:val="36"/>
        </w:rPr>
      </w:pPr>
    </w:p>
    <w:p w:rsidR="007B1A5B" w:rsidRDefault="007B1A5B" w:rsidP="007B1A5B">
      <w:pPr>
        <w:spacing w:after="0" w:line="240" w:lineRule="auto"/>
        <w:jc w:val="center"/>
        <w:rPr>
          <w:b/>
          <w:sz w:val="36"/>
        </w:rPr>
      </w:pPr>
      <w:r w:rsidRPr="007B1A5B">
        <w:rPr>
          <w:b/>
          <w:sz w:val="36"/>
        </w:rPr>
        <w:t>1. számú m</w:t>
      </w:r>
      <w:r>
        <w:rPr>
          <w:b/>
          <w:sz w:val="36"/>
        </w:rPr>
        <w:t>elléklet</w:t>
      </w:r>
    </w:p>
    <w:p w:rsidR="007B1A5B" w:rsidRDefault="007B1A5B" w:rsidP="007B1A5B">
      <w:pPr>
        <w:spacing w:after="0" w:line="240" w:lineRule="auto"/>
        <w:jc w:val="center"/>
        <w:rPr>
          <w:b/>
          <w:sz w:val="36"/>
        </w:rPr>
      </w:pPr>
    </w:p>
    <w:p w:rsidR="007B1A5B" w:rsidRDefault="007B1A5B" w:rsidP="007B1A5B">
      <w:pPr>
        <w:spacing w:after="0" w:line="240" w:lineRule="auto"/>
        <w:jc w:val="center"/>
        <w:rPr>
          <w:b/>
          <w:sz w:val="36"/>
        </w:rPr>
      </w:pPr>
    </w:p>
    <w:p w:rsidR="007B1A5B" w:rsidRDefault="007B1A5B" w:rsidP="007B1A5B">
      <w:pPr>
        <w:spacing w:after="0" w:line="240" w:lineRule="auto"/>
        <w:jc w:val="center"/>
        <w:rPr>
          <w:b/>
          <w:sz w:val="36"/>
        </w:rPr>
      </w:pPr>
    </w:p>
    <w:p w:rsidR="007B1A5B" w:rsidRDefault="007B1A5B" w:rsidP="007B1A5B">
      <w:pPr>
        <w:spacing w:after="0" w:line="240" w:lineRule="auto"/>
        <w:jc w:val="center"/>
        <w:rPr>
          <w:b/>
          <w:sz w:val="36"/>
        </w:rPr>
      </w:pPr>
      <w:r>
        <w:rPr>
          <w:b/>
          <w:sz w:val="36"/>
        </w:rPr>
        <w:t>„Az egészséges ivóvíz biztosításához szükséges laboratóriumi fejlesztések megvalósítása”</w:t>
      </w:r>
    </w:p>
    <w:p w:rsidR="007B1A5B" w:rsidRDefault="007B1A5B" w:rsidP="007B1A5B">
      <w:pPr>
        <w:spacing w:after="0" w:line="240" w:lineRule="auto"/>
        <w:jc w:val="center"/>
        <w:rPr>
          <w:b/>
          <w:sz w:val="36"/>
        </w:rPr>
      </w:pPr>
    </w:p>
    <w:p w:rsidR="007B1A5B" w:rsidRDefault="007B1A5B" w:rsidP="007B1A5B">
      <w:pPr>
        <w:spacing w:after="0" w:line="240" w:lineRule="auto"/>
        <w:jc w:val="center"/>
        <w:rPr>
          <w:b/>
          <w:sz w:val="36"/>
        </w:rPr>
      </w:pPr>
    </w:p>
    <w:p w:rsidR="007B1A5B" w:rsidRDefault="007B1A5B" w:rsidP="007B1A5B">
      <w:pPr>
        <w:pStyle w:val="Cmsor2"/>
        <w:jc w:val="center"/>
        <w:rPr>
          <w:rFonts w:ascii="Calibri" w:hAnsi="Calibri"/>
          <w:bCs w:val="0"/>
          <w:color w:val="auto"/>
          <w:sz w:val="36"/>
          <w:szCs w:val="22"/>
        </w:rPr>
      </w:pPr>
      <w:r w:rsidRPr="007B1A5B">
        <w:rPr>
          <w:rFonts w:ascii="Calibri" w:hAnsi="Calibri"/>
          <w:bCs w:val="0"/>
          <w:color w:val="auto"/>
          <w:sz w:val="36"/>
          <w:szCs w:val="22"/>
        </w:rPr>
        <w:t>tárgyú közbeszerzési eljárás</w:t>
      </w:r>
    </w:p>
    <w:p w:rsidR="007B1A5B" w:rsidRDefault="007B1A5B" w:rsidP="007B1A5B"/>
    <w:p w:rsidR="007B1A5B" w:rsidRDefault="007B1A5B" w:rsidP="007B1A5B"/>
    <w:p w:rsidR="007B1A5B" w:rsidRDefault="007B1A5B" w:rsidP="007B1A5B"/>
    <w:p w:rsidR="007B1A5B" w:rsidRPr="007B1A5B" w:rsidRDefault="007B1A5B" w:rsidP="007B1A5B"/>
    <w:p w:rsidR="008B03B3" w:rsidRPr="007B1A5B" w:rsidRDefault="007B1A5B" w:rsidP="007B1A5B">
      <w:pPr>
        <w:pStyle w:val="Cmsor2"/>
        <w:jc w:val="center"/>
        <w:rPr>
          <w:rFonts w:ascii="Calibri" w:hAnsi="Calibri"/>
          <w:bCs w:val="0"/>
          <w:color w:val="auto"/>
          <w:sz w:val="36"/>
          <w:szCs w:val="22"/>
        </w:rPr>
      </w:pPr>
      <w:r>
        <w:rPr>
          <w:rFonts w:ascii="Calibri" w:hAnsi="Calibri"/>
          <w:bCs w:val="0"/>
          <w:color w:val="auto"/>
          <w:sz w:val="36"/>
          <w:szCs w:val="22"/>
        </w:rPr>
        <w:t>műszaki leírásá</w:t>
      </w:r>
      <w:r w:rsidRPr="007B1A5B">
        <w:rPr>
          <w:rFonts w:ascii="Calibri" w:hAnsi="Calibri"/>
          <w:bCs w:val="0"/>
          <w:color w:val="auto"/>
          <w:sz w:val="36"/>
          <w:szCs w:val="22"/>
        </w:rPr>
        <w:t>hoz</w:t>
      </w:r>
    </w:p>
    <w:p w:rsidR="007B1A5B" w:rsidRPr="007B1A5B" w:rsidRDefault="007B1A5B" w:rsidP="007B1A5B">
      <w:r>
        <w:br w:type="page"/>
      </w:r>
    </w:p>
    <w:p w:rsidR="008B03B3" w:rsidRPr="007B1A5B" w:rsidRDefault="008B03B3" w:rsidP="008B03B3">
      <w:pPr>
        <w:pStyle w:val="Cmsor2"/>
        <w:jc w:val="center"/>
        <w:rPr>
          <w:rFonts w:ascii="Calibri" w:hAnsi="Calibri"/>
          <w:bCs w:val="0"/>
          <w:color w:val="auto"/>
          <w:sz w:val="36"/>
          <w:szCs w:val="22"/>
        </w:rPr>
      </w:pPr>
      <w:r w:rsidRPr="007B1A5B">
        <w:rPr>
          <w:rFonts w:ascii="Calibri" w:hAnsi="Calibri"/>
          <w:bCs w:val="0"/>
          <w:color w:val="auto"/>
          <w:sz w:val="36"/>
          <w:szCs w:val="22"/>
        </w:rPr>
        <w:lastRenderedPageBreak/>
        <w:t>Az OSZIR bemutatása</w:t>
      </w:r>
      <w:bookmarkEnd w:id="0"/>
      <w:bookmarkEnd w:id="1"/>
    </w:p>
    <w:p w:rsidR="008B03B3" w:rsidRDefault="008B03B3" w:rsidP="008B03B3">
      <w:pPr>
        <w:jc w:val="both"/>
      </w:pPr>
    </w:p>
    <w:p w:rsidR="008B03B3" w:rsidRPr="00F7130E" w:rsidRDefault="008B03B3" w:rsidP="008B03B3">
      <w:pPr>
        <w:jc w:val="both"/>
      </w:pPr>
      <w:r w:rsidRPr="00F7130E">
        <w:t>Az OSZIR rendszer (Országos Szakmai Információs Rendszer) az EKOP-3.1.1. projekt keretében kialakított háromrétegű architektúrát alkalmazó integrált rendszer az OTH-ban.</w:t>
      </w:r>
    </w:p>
    <w:p w:rsidR="008B03B3" w:rsidRPr="00F7130E" w:rsidRDefault="008B03B3" w:rsidP="008B03B3">
      <w:pPr>
        <w:jc w:val="both"/>
      </w:pPr>
      <w:r>
        <w:rPr>
          <w:noProof/>
          <w:lang w:eastAsia="hu-HU"/>
        </w:rPr>
        <w:drawing>
          <wp:inline distT="0" distB="0" distL="0" distR="0">
            <wp:extent cx="3905250" cy="50292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5029200"/>
                    </a:xfrm>
                    <a:prstGeom prst="rect">
                      <a:avLst/>
                    </a:prstGeom>
                    <a:noFill/>
                    <a:ln>
                      <a:noFill/>
                    </a:ln>
                  </pic:spPr>
                </pic:pic>
              </a:graphicData>
            </a:graphic>
          </wp:inline>
        </w:drawing>
      </w:r>
    </w:p>
    <w:p w:rsidR="008B03B3" w:rsidRPr="00F7130E" w:rsidRDefault="008B03B3" w:rsidP="008B03B3">
      <w:pPr>
        <w:keepNext/>
        <w:jc w:val="both"/>
        <w:rPr>
          <w:b/>
        </w:rPr>
      </w:pPr>
      <w:r w:rsidRPr="00F7130E">
        <w:rPr>
          <w:b/>
        </w:rPr>
        <w:t>Az OSZIR rendszer összetevői:</w:t>
      </w:r>
    </w:p>
    <w:p w:rsidR="008B03B3" w:rsidRPr="00F7130E" w:rsidRDefault="008B03B3" w:rsidP="008B03B3">
      <w:pPr>
        <w:numPr>
          <w:ilvl w:val="0"/>
          <w:numId w:val="1"/>
        </w:numPr>
        <w:spacing w:after="0" w:line="360" w:lineRule="auto"/>
        <w:jc w:val="both"/>
      </w:pPr>
      <w:r w:rsidRPr="00F7130E">
        <w:rPr>
          <w:u w:val="single"/>
        </w:rPr>
        <w:t>Portál</w:t>
      </w:r>
      <w:r w:rsidRPr="00F7130E">
        <w:t>: a portál központi elem a rendszer szempontjából, hiszen a felhasználók ezen keresztül érhetik el az egyes szolgáltatásokat/szakrendszereket. A portál Internet és belső „vállalati portál” funkciókat egyaránt ellát.</w:t>
      </w:r>
    </w:p>
    <w:p w:rsidR="008B03B3" w:rsidRPr="00F7130E" w:rsidRDefault="008B03B3" w:rsidP="008B03B3">
      <w:pPr>
        <w:numPr>
          <w:ilvl w:val="0"/>
          <w:numId w:val="1"/>
        </w:numPr>
        <w:spacing w:after="0" w:line="360" w:lineRule="auto"/>
        <w:jc w:val="both"/>
      </w:pPr>
      <w:bookmarkStart w:id="3" w:name="_Toc292314555"/>
      <w:r w:rsidRPr="00F7130E">
        <w:rPr>
          <w:u w:val="single"/>
        </w:rPr>
        <w:t>Törzsadat kezelés</w:t>
      </w:r>
      <w:bookmarkEnd w:id="3"/>
      <w:r w:rsidRPr="00F7130E">
        <w:t>: az OSZIR integrált rendszer egyik alapvető eleme a törzsadatok közös, egységes formában történő kezelése.</w:t>
      </w:r>
    </w:p>
    <w:p w:rsidR="008B03B3" w:rsidRPr="00F7130E" w:rsidRDefault="008B03B3" w:rsidP="008B03B3">
      <w:pPr>
        <w:numPr>
          <w:ilvl w:val="0"/>
          <w:numId w:val="1"/>
        </w:numPr>
        <w:spacing w:after="0" w:line="360" w:lineRule="auto"/>
        <w:jc w:val="both"/>
      </w:pPr>
      <w:r w:rsidRPr="00F7130E">
        <w:rPr>
          <w:u w:val="single"/>
        </w:rPr>
        <w:t>Közös szolgáltatások</w:t>
      </w:r>
      <w:r w:rsidRPr="00F7130E">
        <w:t>:</w:t>
      </w:r>
    </w:p>
    <w:p w:rsidR="008B03B3" w:rsidRPr="00F7130E" w:rsidRDefault="008B03B3" w:rsidP="008B03B3">
      <w:pPr>
        <w:numPr>
          <w:ilvl w:val="1"/>
          <w:numId w:val="1"/>
        </w:numPr>
        <w:spacing w:after="0" w:line="360" w:lineRule="auto"/>
        <w:jc w:val="both"/>
      </w:pPr>
      <w:r w:rsidRPr="00F7130E">
        <w:rPr>
          <w:i/>
        </w:rPr>
        <w:t>Authentikációs modul</w:t>
      </w:r>
      <w:r w:rsidRPr="00F7130E">
        <w:t xml:space="preserve">: a teljes alkalmazás egységes központi authentikációs támogató modult használ, amely a belső és a külső felhasználók bejelentkezésének </w:t>
      </w:r>
      <w:r w:rsidRPr="00F7130E">
        <w:lastRenderedPageBreak/>
        <w:t>folyamatát egyaránt megvalósítja. Az egyes szakrendszerek minden esetben az authentikációs támogató modul segítségével valósítják meg a bejelentkezési folyamatot. Az IVR-nek a közös authentikációs modult kötelező használnia.</w:t>
      </w:r>
    </w:p>
    <w:p w:rsidR="008B03B3" w:rsidRPr="00F7130E" w:rsidRDefault="008B03B3" w:rsidP="008B03B3">
      <w:pPr>
        <w:numPr>
          <w:ilvl w:val="1"/>
          <w:numId w:val="1"/>
        </w:numPr>
        <w:spacing w:after="0" w:line="360" w:lineRule="auto"/>
        <w:jc w:val="both"/>
        <w:rPr>
          <w:i/>
        </w:rPr>
      </w:pPr>
      <w:r w:rsidRPr="00F7130E">
        <w:rPr>
          <w:i/>
        </w:rPr>
        <w:t xml:space="preserve">Jogosultság kezelő modul: </w:t>
      </w:r>
      <w:r w:rsidRPr="00F7130E">
        <w:t>a bejelentkezett felhasználó jogosultságát ellenőrzi. Figyeli, hogy a felhasználó belső felhasználó-e vagy sem, illetve külső felhasználó esetén azt, hogy melyik partner nevében jelentkezett be. Ennek megfelelően határozza meg az adatbázis segítségével, hogy a felhasználó rendelkezik-e a kívánt jogosultsággal, vagy sem. Az IVR-nek a közös jogosultság kezelő modult kötelező használnia.</w:t>
      </w:r>
    </w:p>
    <w:p w:rsidR="008B03B3" w:rsidRPr="00F7130E" w:rsidRDefault="008B03B3" w:rsidP="008B03B3">
      <w:pPr>
        <w:numPr>
          <w:ilvl w:val="1"/>
          <w:numId w:val="1"/>
        </w:numPr>
        <w:spacing w:after="0" w:line="360" w:lineRule="auto"/>
        <w:jc w:val="both"/>
        <w:rPr>
          <w:i/>
        </w:rPr>
      </w:pPr>
      <w:r w:rsidRPr="00F7130E">
        <w:rPr>
          <w:i/>
        </w:rPr>
        <w:t xml:space="preserve">Külső rendszer adatkapcsolati modul: </w:t>
      </w:r>
      <w:r w:rsidRPr="00F7130E">
        <w:t>az OSZIR rendszerhez a külső rendszerek web szolgáltatások segítségével tudnak kapcsolódni, a modul egy tanúsítványalapú ellenőrzést valósít meg a web szolgáltatás külső használójára nézve. Az IVR-nek csak a közös külső rendszerkapcsolatok modulon keresztül létesíthet bármilyen kapcsolatot belső és külső rendszerekkel.</w:t>
      </w:r>
    </w:p>
    <w:p w:rsidR="008B03B3" w:rsidRPr="00F7130E" w:rsidRDefault="008B03B3" w:rsidP="008B03B3">
      <w:pPr>
        <w:numPr>
          <w:ilvl w:val="1"/>
          <w:numId w:val="1"/>
        </w:numPr>
        <w:spacing w:after="0" w:line="360" w:lineRule="auto"/>
        <w:jc w:val="both"/>
        <w:rPr>
          <w:i/>
        </w:rPr>
      </w:pPr>
      <w:r w:rsidRPr="00F7130E">
        <w:rPr>
          <w:i/>
        </w:rPr>
        <w:t xml:space="preserve">Hivatali kapu modul: </w:t>
      </w:r>
      <w:r w:rsidRPr="00F7130E">
        <w:t>valósítja meg az OTH hivatali kapus fiókjának folyamatos figyelését, illetve a megfelelő címzettnek küldendő dokumentumok feladását a hivatali kapus szolgáltatás felé. Az IVR szempontjából nem releváns.</w:t>
      </w:r>
    </w:p>
    <w:p w:rsidR="008B03B3" w:rsidRPr="00F7130E" w:rsidRDefault="008B03B3" w:rsidP="008B03B3">
      <w:pPr>
        <w:numPr>
          <w:ilvl w:val="0"/>
          <w:numId w:val="1"/>
        </w:numPr>
        <w:spacing w:after="0" w:line="360" w:lineRule="auto"/>
        <w:jc w:val="both"/>
        <w:rPr>
          <w:u w:val="single"/>
        </w:rPr>
      </w:pPr>
      <w:r w:rsidRPr="00F7130E">
        <w:rPr>
          <w:u w:val="single"/>
        </w:rPr>
        <w:t xml:space="preserve">Iratkezelő rendszer: </w:t>
      </w:r>
      <w:r w:rsidRPr="00F7130E">
        <w:t>akkreditációs elvárások miatt az IRMA rendszer került kiválasztásra és bevezetésre, amely egy auditált, dobozos termék. Az IVR szempontjából nem releváns.</w:t>
      </w:r>
    </w:p>
    <w:p w:rsidR="008B03B3" w:rsidRPr="00F7130E" w:rsidRDefault="008B03B3" w:rsidP="008B03B3">
      <w:pPr>
        <w:numPr>
          <w:ilvl w:val="0"/>
          <w:numId w:val="1"/>
        </w:numPr>
        <w:spacing w:after="0" w:line="360" w:lineRule="auto"/>
        <w:jc w:val="both"/>
        <w:rPr>
          <w:u w:val="single"/>
        </w:rPr>
      </w:pPr>
      <w:r w:rsidRPr="00F7130E">
        <w:rPr>
          <w:u w:val="single"/>
        </w:rPr>
        <w:t xml:space="preserve">Jelentésgenerátor rendszer: </w:t>
      </w:r>
      <w:r w:rsidRPr="00F7130E">
        <w:t>a teljes OSZIR rendszerben a jelentések generálását egy támogató rendszer végzi, ez a jelentésgenerátor. A saját adatbázis kezelőjében az éles szakrendszerek adatbázisainak adatairól rendszeres időközönként készített mentés található, így a tranzakciós rendszerek performanciáját nem befolyásolja. Az IVR szempontjából nem releváns.</w:t>
      </w:r>
    </w:p>
    <w:p w:rsidR="008B03B3" w:rsidRPr="00F7130E" w:rsidRDefault="008B03B3" w:rsidP="008B03B3">
      <w:pPr>
        <w:numPr>
          <w:ilvl w:val="0"/>
          <w:numId w:val="1"/>
        </w:numPr>
        <w:spacing w:after="0" w:line="360" w:lineRule="auto"/>
        <w:jc w:val="both"/>
        <w:rPr>
          <w:u w:val="single"/>
        </w:rPr>
      </w:pPr>
      <w:r w:rsidRPr="00F7130E">
        <w:rPr>
          <w:u w:val="single"/>
        </w:rPr>
        <w:t xml:space="preserve">Térinformatikai rendszer: </w:t>
      </w:r>
      <w:r w:rsidRPr="00F7130E">
        <w:t>a teljes OSZIR rendszerben tárolt címek geokódolását végzi, azaz a cím alapján meghatározza a hozzá tartozó földrajzi pozíciót. Másik fő funkciója, hogy a térbeli adatokra aggregált lekérdezések végeredményét térképen lehessen ábrázolni. A lekérdezéseket a Jelentésgenerátor vagy bármely szakrendszer állíthatja elő. Az IVR szempontjából nem releváns.</w:t>
      </w:r>
    </w:p>
    <w:p w:rsidR="008B03B3" w:rsidRPr="00F7130E" w:rsidRDefault="008B03B3" w:rsidP="008B03B3">
      <w:pPr>
        <w:numPr>
          <w:ilvl w:val="0"/>
          <w:numId w:val="1"/>
        </w:numPr>
        <w:spacing w:after="0" w:line="360" w:lineRule="auto"/>
        <w:jc w:val="both"/>
        <w:rPr>
          <w:u w:val="single"/>
        </w:rPr>
      </w:pPr>
      <w:r w:rsidRPr="00F7130E">
        <w:rPr>
          <w:u w:val="single"/>
        </w:rPr>
        <w:t>Szakrendszerek:</w:t>
      </w:r>
    </w:p>
    <w:p w:rsidR="008B03B3" w:rsidRPr="00F7130E" w:rsidRDefault="008B03B3" w:rsidP="008B03B3">
      <w:pPr>
        <w:numPr>
          <w:ilvl w:val="1"/>
          <w:numId w:val="1"/>
        </w:numPr>
        <w:spacing w:after="0" w:line="360" w:lineRule="auto"/>
        <w:jc w:val="both"/>
        <w:rPr>
          <w:i/>
        </w:rPr>
      </w:pPr>
      <w:r w:rsidRPr="00F7130E">
        <w:rPr>
          <w:i/>
        </w:rPr>
        <w:t xml:space="preserve">Járványügyi szakrendszer: </w:t>
      </w:r>
      <w:r w:rsidRPr="00F7130E">
        <w:t xml:space="preserve">a következő nyolc alrendszerből épül fel: Fertőzőbeteg jelentő alrendszer; Influenza alrendszer; Védőoltási és oltóanyag logisztikai alrendszer; Nosocomialis alrendszer; STD és HIV/AIDS alrendszer; Mikrobiológiai </w:t>
      </w:r>
      <w:r w:rsidRPr="00F7130E">
        <w:lastRenderedPageBreak/>
        <w:t>alrendszer; Akut/sürgősségi mentőkivonulási/Betegfelvételi monitoring; Halálozási monitoring.</w:t>
      </w:r>
    </w:p>
    <w:p w:rsidR="008B03B3" w:rsidRPr="00F7130E" w:rsidRDefault="008B03B3" w:rsidP="008B03B3">
      <w:pPr>
        <w:numPr>
          <w:ilvl w:val="1"/>
          <w:numId w:val="1"/>
        </w:numPr>
        <w:spacing w:after="0" w:line="360" w:lineRule="auto"/>
        <w:jc w:val="both"/>
        <w:rPr>
          <w:i/>
        </w:rPr>
      </w:pPr>
      <w:r w:rsidRPr="00F7130E">
        <w:rPr>
          <w:i/>
        </w:rPr>
        <w:t xml:space="preserve">Sugáregészségügyi szakrendszer: </w:t>
      </w:r>
      <w:r w:rsidRPr="00F7130E">
        <w:t>három komponensből épül fel: Munkahelyi Sugáregészségügy (MHS); Környezeti Sugáregészségügy (OKSER); Országos Dozimetriai szolgáltatás és nyilvántartás (OSZD).</w:t>
      </w:r>
    </w:p>
    <w:p w:rsidR="008B03B3" w:rsidRPr="00F7130E" w:rsidRDefault="008B03B3" w:rsidP="008B03B3">
      <w:pPr>
        <w:numPr>
          <w:ilvl w:val="1"/>
          <w:numId w:val="1"/>
        </w:numPr>
        <w:spacing w:after="0" w:line="360" w:lineRule="auto"/>
        <w:jc w:val="both"/>
        <w:rPr>
          <w:i/>
        </w:rPr>
      </w:pPr>
      <w:r w:rsidRPr="00F7130E">
        <w:rPr>
          <w:i/>
        </w:rPr>
        <w:t xml:space="preserve">Kémiai biztonsági szakrendszer: </w:t>
      </w:r>
      <w:r w:rsidRPr="00F7130E">
        <w:t>két fő alrendszerből épül fel: Bejelentés, engedélyezés, nyilvántartás alrendszer; Hatósági tevékenység alrendszer.</w:t>
      </w:r>
    </w:p>
    <w:p w:rsidR="008B03B3" w:rsidRPr="00F7130E" w:rsidRDefault="008B03B3" w:rsidP="008B03B3">
      <w:pPr>
        <w:numPr>
          <w:ilvl w:val="1"/>
          <w:numId w:val="1"/>
        </w:numPr>
        <w:spacing w:after="0" w:line="360" w:lineRule="auto"/>
        <w:jc w:val="both"/>
        <w:rPr>
          <w:i/>
        </w:rPr>
      </w:pPr>
      <w:r w:rsidRPr="00F7130E">
        <w:rPr>
          <w:i/>
        </w:rPr>
        <w:t>Sürgősség, 112 ügyeleti szakrendszer</w:t>
      </w:r>
    </w:p>
    <w:p w:rsidR="008B03B3" w:rsidRPr="00F7130E" w:rsidRDefault="008B03B3" w:rsidP="008B03B3">
      <w:pPr>
        <w:numPr>
          <w:ilvl w:val="1"/>
          <w:numId w:val="1"/>
        </w:numPr>
        <w:spacing w:after="0" w:line="360" w:lineRule="auto"/>
        <w:jc w:val="both"/>
        <w:rPr>
          <w:i/>
        </w:rPr>
      </w:pPr>
      <w:r w:rsidRPr="00F7130E">
        <w:rPr>
          <w:i/>
        </w:rPr>
        <w:t xml:space="preserve">Egység és tevékenységnyilvántartás (ETEL): </w:t>
      </w:r>
      <w:r w:rsidRPr="00F7130E">
        <w:t>az ÁNTSZ hatósági munkáját támogató rendszer.</w:t>
      </w:r>
    </w:p>
    <w:p w:rsidR="008B03B3" w:rsidRPr="00F7130E" w:rsidRDefault="008B03B3" w:rsidP="008B03B3">
      <w:pPr>
        <w:jc w:val="both"/>
      </w:pPr>
      <w:r w:rsidRPr="00F7130E">
        <w:t>Az ÁNTSZ belső rendszerei közül ki kell még emelni az eGEN rendszert - Működési engedély nyilvántartó és határozat generáló rendszer-, amely az OSZIR rendszer közös törzsadattárát látja el az egészségügyi szolgáltatók adataival.</w:t>
      </w:r>
    </w:p>
    <w:p w:rsidR="008B03B3" w:rsidRPr="00DB5A25" w:rsidRDefault="008B03B3" w:rsidP="00DB5A25">
      <w:pPr>
        <w:keepNext/>
        <w:jc w:val="both"/>
        <w:rPr>
          <w:b/>
        </w:rPr>
      </w:pPr>
      <w:bookmarkStart w:id="4" w:name="_Toc353377740"/>
      <w:bookmarkStart w:id="5" w:name="_Toc287392745"/>
      <w:r w:rsidRPr="00DB5A25">
        <w:rPr>
          <w:b/>
        </w:rPr>
        <w:t>A HU</w:t>
      </w:r>
      <w:r w:rsidR="00DB5A25">
        <w:rPr>
          <w:b/>
        </w:rPr>
        <w:t>M</w:t>
      </w:r>
      <w:r w:rsidRPr="00DB5A25">
        <w:rPr>
          <w:b/>
        </w:rPr>
        <w:t>VI bemutatása</w:t>
      </w:r>
    </w:p>
    <w:p w:rsidR="008B03B3" w:rsidRPr="00F7130E" w:rsidRDefault="008B03B3" w:rsidP="008B03B3">
      <w:pPr>
        <w:jc w:val="both"/>
      </w:pPr>
      <w:r w:rsidRPr="00F7130E">
        <w:t xml:space="preserve">A HUMVI (Humán Vízhasználatok Környezet-egészségügyi Szakrendszere) rendszer egy vízminőségi-vízbiztonsági országos informatikai szakrendszer, ami az ÁNTSZ központjában, az OTH által működtetett központi információs rendszer (OSZIR) részeként került kialakításra. Az OSZIR rendszerben már megtalálható szakmai rendszerek mellé került beillesztésre (KBIR, Sugáregészségügyi Szakrendszer, Járványügyi Szakrendszer, 112 és Sürgősségi Ellátások, stb.). A vízminőségi-vízbiztonsági felügyeleti rendszer adatot szolgáltat a vízminőséget és vízbiztonságot érintő információk tekintetében. </w:t>
      </w:r>
    </w:p>
    <w:p w:rsidR="008B03B3" w:rsidRPr="00F7130E" w:rsidRDefault="008B03B3" w:rsidP="008B03B3">
      <w:pPr>
        <w:jc w:val="both"/>
        <w:rPr>
          <w:lang w:eastAsia="hu-HU"/>
        </w:rPr>
      </w:pPr>
      <w:r w:rsidRPr="00F7130E">
        <w:rPr>
          <w:lang w:eastAsia="hu-HU"/>
        </w:rPr>
        <w:t>A rendszer által gyűjtött adatok feldolgozását, azokkal történő szakmai, döntés-előkészítési és statisztikai elemzési tevékenységeit az ÁNTSZ népegészségügyi szakigazgatási szervei (a megyei és fővárosi kormányhivataloknál), az Országos Környezet-egészségügyi Intézet (OKI) és az OTH szakemberei végzik.</w:t>
      </w:r>
    </w:p>
    <w:p w:rsidR="00DB5A25" w:rsidRDefault="00DB5A25">
      <w:pPr>
        <w:spacing w:before="120" w:after="120" w:line="240" w:lineRule="auto"/>
        <w:rPr>
          <w:b/>
        </w:rPr>
      </w:pPr>
      <w:bookmarkStart w:id="6" w:name="_Toc405357105"/>
      <w:r>
        <w:rPr>
          <w:b/>
        </w:rPr>
        <w:br w:type="page"/>
      </w:r>
    </w:p>
    <w:p w:rsidR="008B03B3" w:rsidRPr="00DB5A25" w:rsidRDefault="008B03B3" w:rsidP="00DB5A25">
      <w:pPr>
        <w:keepNext/>
        <w:jc w:val="both"/>
        <w:rPr>
          <w:b/>
        </w:rPr>
      </w:pPr>
      <w:r w:rsidRPr="00DB5A25">
        <w:rPr>
          <w:b/>
        </w:rPr>
        <w:lastRenderedPageBreak/>
        <w:t>Logikai felépítés</w:t>
      </w:r>
      <w:bookmarkEnd w:id="6"/>
    </w:p>
    <w:p w:rsidR="008B03B3" w:rsidRPr="00F7130E" w:rsidRDefault="008B03B3" w:rsidP="00DB5A25">
      <w:pPr>
        <w:jc w:val="center"/>
        <w:rPr>
          <w:lang w:eastAsia="hu-HU"/>
        </w:rPr>
      </w:pPr>
      <w:r>
        <w:rPr>
          <w:noProof/>
          <w:lang w:eastAsia="hu-HU"/>
        </w:rPr>
        <w:drawing>
          <wp:inline distT="0" distB="0" distL="0" distR="0" wp14:anchorId="14914254" wp14:editId="23AA5EAC">
            <wp:extent cx="3810000" cy="40576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057650"/>
                    </a:xfrm>
                    <a:prstGeom prst="rect">
                      <a:avLst/>
                    </a:prstGeom>
                    <a:noFill/>
                    <a:ln>
                      <a:noFill/>
                    </a:ln>
                  </pic:spPr>
                </pic:pic>
              </a:graphicData>
            </a:graphic>
          </wp:inline>
        </w:drawing>
      </w:r>
    </w:p>
    <w:p w:rsidR="008B03B3" w:rsidRPr="00DB5A25" w:rsidRDefault="008B03B3" w:rsidP="00DB5A25">
      <w:pPr>
        <w:pStyle w:val="Kpalrs"/>
        <w:jc w:val="center"/>
        <w:rPr>
          <w:color w:val="auto"/>
          <w:sz w:val="22"/>
          <w:szCs w:val="22"/>
        </w:rPr>
      </w:pPr>
      <w:r w:rsidRPr="00DB5A25">
        <w:rPr>
          <w:color w:val="auto"/>
          <w:sz w:val="22"/>
          <w:szCs w:val="22"/>
        </w:rPr>
        <w:fldChar w:fldCharType="begin"/>
      </w:r>
      <w:r w:rsidRPr="00DB5A25">
        <w:rPr>
          <w:color w:val="auto"/>
          <w:sz w:val="22"/>
          <w:szCs w:val="22"/>
        </w:rPr>
        <w:instrText xml:space="preserve"> SEQ ábra \* ARABIC </w:instrText>
      </w:r>
      <w:r w:rsidRPr="00DB5A25">
        <w:rPr>
          <w:color w:val="auto"/>
          <w:sz w:val="22"/>
          <w:szCs w:val="22"/>
        </w:rPr>
        <w:fldChar w:fldCharType="separate"/>
      </w:r>
      <w:bookmarkStart w:id="7" w:name="_Toc372892593"/>
      <w:r w:rsidRPr="00DB5A25">
        <w:rPr>
          <w:noProof/>
          <w:color w:val="auto"/>
          <w:sz w:val="22"/>
          <w:szCs w:val="22"/>
        </w:rPr>
        <w:t>1</w:t>
      </w:r>
      <w:r w:rsidRPr="00DB5A25">
        <w:rPr>
          <w:noProof/>
          <w:color w:val="auto"/>
          <w:sz w:val="22"/>
          <w:szCs w:val="22"/>
        </w:rPr>
        <w:fldChar w:fldCharType="end"/>
      </w:r>
      <w:r w:rsidRPr="00DB5A25">
        <w:rPr>
          <w:color w:val="auto"/>
          <w:sz w:val="22"/>
          <w:szCs w:val="22"/>
        </w:rPr>
        <w:t xml:space="preserve">. ábra: HUMVI </w:t>
      </w:r>
      <w:bookmarkEnd w:id="7"/>
      <w:r w:rsidRPr="00DB5A25">
        <w:rPr>
          <w:color w:val="auto"/>
          <w:sz w:val="22"/>
          <w:szCs w:val="22"/>
        </w:rPr>
        <w:t>logikai felépítés</w:t>
      </w:r>
    </w:p>
    <w:p w:rsidR="008B03B3" w:rsidRPr="00F7130E" w:rsidRDefault="008B03B3" w:rsidP="008B03B3">
      <w:pPr>
        <w:jc w:val="both"/>
        <w:rPr>
          <w:lang w:eastAsia="hu-HU"/>
        </w:rPr>
      </w:pPr>
    </w:p>
    <w:p w:rsidR="008B03B3" w:rsidRPr="00DB5A25" w:rsidRDefault="008B03B3" w:rsidP="00DB5A25">
      <w:pPr>
        <w:keepNext/>
        <w:jc w:val="both"/>
        <w:rPr>
          <w:b/>
        </w:rPr>
      </w:pPr>
      <w:bookmarkStart w:id="8" w:name="_Toc405357106"/>
      <w:r w:rsidRPr="00DB5A25">
        <w:rPr>
          <w:b/>
        </w:rPr>
        <w:t>Modulok</w:t>
      </w:r>
      <w:bookmarkEnd w:id="8"/>
    </w:p>
    <w:p w:rsidR="008B03B3" w:rsidRPr="00DB5A25" w:rsidRDefault="008B03B3" w:rsidP="00DB5A25">
      <w:pPr>
        <w:keepNext/>
        <w:jc w:val="both"/>
        <w:rPr>
          <w:b/>
          <w:i/>
        </w:rPr>
      </w:pPr>
      <w:bookmarkStart w:id="9" w:name="_Toc405357107"/>
      <w:r w:rsidRPr="00DB5A25">
        <w:rPr>
          <w:b/>
          <w:i/>
        </w:rPr>
        <w:t>Ivóvíz modul</w:t>
      </w:r>
      <w:bookmarkEnd w:id="9"/>
    </w:p>
    <w:p w:rsidR="008B03B3" w:rsidRPr="00F7130E" w:rsidRDefault="008B03B3" w:rsidP="008B03B3">
      <w:pPr>
        <w:jc w:val="both"/>
        <w:rPr>
          <w:lang w:eastAsia="hu-HU"/>
        </w:rPr>
      </w:pPr>
      <w:r w:rsidRPr="00F7130E">
        <w:rPr>
          <w:lang w:eastAsia="hu-HU"/>
        </w:rPr>
        <w:t>A modul fő feladata a szolgáltatóktól, vagy közvetlenül az ivóvízvizsgáló laboratóriumokból beérkező vízvizsgálati eredmények ellenőrzött fogadása, az ehhez szükséges ivóvízkezelései belső folyamatok (mintadarabszámok kezelés, egyedi küszöbértékek kezelés, részletes ivóvíz minőségi vizsgálatok alóli felmentések kezelés) támogatása, valamint az adatok honlapra publikálása.</w:t>
      </w:r>
    </w:p>
    <w:p w:rsidR="008B03B3" w:rsidRPr="00DB5A25" w:rsidRDefault="008B03B3" w:rsidP="00DB5A25">
      <w:pPr>
        <w:keepNext/>
        <w:jc w:val="both"/>
        <w:rPr>
          <w:b/>
          <w:i/>
        </w:rPr>
      </w:pPr>
      <w:bookmarkStart w:id="10" w:name="_Toc405357108"/>
      <w:r w:rsidRPr="00DB5A25">
        <w:rPr>
          <w:b/>
          <w:i/>
        </w:rPr>
        <w:t>Ásvány-gyógyvíz modul</w:t>
      </w:r>
      <w:bookmarkEnd w:id="10"/>
    </w:p>
    <w:p w:rsidR="008B03B3" w:rsidRPr="00F7130E" w:rsidRDefault="008B03B3" w:rsidP="008B03B3">
      <w:pPr>
        <w:jc w:val="both"/>
        <w:rPr>
          <w:lang w:eastAsia="hu-HU"/>
        </w:rPr>
      </w:pPr>
      <w:r w:rsidRPr="00F7130E">
        <w:rPr>
          <w:lang w:eastAsia="hu-HU"/>
        </w:rPr>
        <w:t>A modul a vízminták adatainak fogadásán kívül támogatja az engedélyezési folyamatot, valamint feladata ezen adatok honlapra publikálása.</w:t>
      </w:r>
    </w:p>
    <w:p w:rsidR="008B03B3" w:rsidRPr="00DB5A25" w:rsidRDefault="008B03B3" w:rsidP="00DB5A25">
      <w:pPr>
        <w:keepNext/>
        <w:jc w:val="both"/>
        <w:rPr>
          <w:b/>
          <w:i/>
        </w:rPr>
      </w:pPr>
      <w:bookmarkStart w:id="11" w:name="_Toc405357109"/>
      <w:r w:rsidRPr="00DB5A25">
        <w:rPr>
          <w:b/>
          <w:i/>
        </w:rPr>
        <w:t>Természetes fürdővizek modul</w:t>
      </w:r>
      <w:bookmarkEnd w:id="11"/>
    </w:p>
    <w:p w:rsidR="008B03B3" w:rsidRPr="00F7130E" w:rsidRDefault="008B03B3" w:rsidP="008B03B3">
      <w:pPr>
        <w:jc w:val="both"/>
        <w:rPr>
          <w:lang w:eastAsia="hu-HU"/>
        </w:rPr>
      </w:pPr>
      <w:r w:rsidRPr="00F7130E">
        <w:rPr>
          <w:lang w:eastAsia="hu-HU"/>
        </w:rPr>
        <w:t>A modul a vízminták adatainak fogadásán kívül támogatja az természetes fürdővíz ütemtervek kezelését, minősítési folyamatokat, valamint a befogadott adatok honlapra publikálását.</w:t>
      </w:r>
    </w:p>
    <w:p w:rsidR="008B03B3" w:rsidRPr="00DB5A25" w:rsidRDefault="008B03B3" w:rsidP="00DB5A25">
      <w:pPr>
        <w:keepNext/>
        <w:jc w:val="both"/>
        <w:rPr>
          <w:b/>
          <w:i/>
        </w:rPr>
      </w:pPr>
      <w:bookmarkStart w:id="12" w:name="_Toc405357110"/>
      <w:r w:rsidRPr="00DB5A25">
        <w:rPr>
          <w:b/>
          <w:i/>
        </w:rPr>
        <w:lastRenderedPageBreak/>
        <w:t>Medencés fürdők modul</w:t>
      </w:r>
      <w:bookmarkEnd w:id="12"/>
    </w:p>
    <w:p w:rsidR="008B03B3" w:rsidRPr="00F7130E" w:rsidRDefault="008B03B3" w:rsidP="008B03B3">
      <w:pPr>
        <w:jc w:val="both"/>
        <w:rPr>
          <w:lang w:eastAsia="hu-HU"/>
        </w:rPr>
      </w:pPr>
      <w:r w:rsidRPr="00F7130E">
        <w:rPr>
          <w:lang w:eastAsia="hu-HU"/>
        </w:rPr>
        <w:t>A modul a vízminták adatainak fogadásán kívül támogatja a medencés fürdő ütemtervek kezelését, valamint a befogadott adatok honlapra publikálását.</w:t>
      </w:r>
    </w:p>
    <w:p w:rsidR="008B03B3" w:rsidRPr="00DB5A25" w:rsidRDefault="008B03B3" w:rsidP="00DB5A25">
      <w:pPr>
        <w:keepNext/>
        <w:jc w:val="both"/>
        <w:rPr>
          <w:b/>
          <w:i/>
        </w:rPr>
      </w:pPr>
      <w:bookmarkStart w:id="13" w:name="_Toc405357111"/>
      <w:r w:rsidRPr="00DB5A25">
        <w:rPr>
          <w:b/>
          <w:i/>
        </w:rPr>
        <w:t>Vízzel érintkező berendezések és anyagok</w:t>
      </w:r>
      <w:bookmarkEnd w:id="13"/>
    </w:p>
    <w:p w:rsidR="008B03B3" w:rsidRPr="00F7130E" w:rsidRDefault="008B03B3" w:rsidP="008B03B3">
      <w:pPr>
        <w:jc w:val="both"/>
        <w:rPr>
          <w:lang w:eastAsia="hu-HU"/>
        </w:rPr>
      </w:pPr>
      <w:r w:rsidRPr="00F7130E">
        <w:rPr>
          <w:lang w:eastAsia="hu-HU"/>
        </w:rPr>
        <w:t>A vízzel érintkező anyagok és berendezések egy az előbbi moduloktól független nyilvántartás, melynek karbantartása az OTH feladata. A hatályos adatok egy része a honlapon publikálásra kerül, kézi indítással.</w:t>
      </w:r>
    </w:p>
    <w:p w:rsidR="008B03B3" w:rsidRPr="00DB5A25" w:rsidRDefault="008B03B3" w:rsidP="00DB5A25">
      <w:pPr>
        <w:keepNext/>
        <w:jc w:val="both"/>
        <w:rPr>
          <w:b/>
          <w:i/>
        </w:rPr>
      </w:pPr>
      <w:bookmarkStart w:id="14" w:name="_Toc405357112"/>
      <w:r w:rsidRPr="00DB5A25">
        <w:rPr>
          <w:b/>
          <w:i/>
        </w:rPr>
        <w:t>Körvizsgálatok</w:t>
      </w:r>
      <w:bookmarkEnd w:id="14"/>
    </w:p>
    <w:p w:rsidR="008B03B3" w:rsidRPr="00F7130E" w:rsidRDefault="008B03B3" w:rsidP="008B03B3">
      <w:pPr>
        <w:jc w:val="both"/>
        <w:rPr>
          <w:lang w:eastAsia="hu-HU"/>
        </w:rPr>
      </w:pPr>
      <w:r w:rsidRPr="00F7130E">
        <w:rPr>
          <w:lang w:eastAsia="hu-HU"/>
        </w:rPr>
        <w:t>A modul feladata az éves laboratóriumoknak szóló körvizsgálatok lebonyolításának támogatása.</w:t>
      </w:r>
    </w:p>
    <w:p w:rsidR="00DB5A25" w:rsidRDefault="00DB5A25" w:rsidP="00DB5A25">
      <w:pPr>
        <w:keepNext/>
        <w:jc w:val="both"/>
        <w:rPr>
          <w:b/>
        </w:rPr>
      </w:pPr>
      <w:bookmarkStart w:id="15" w:name="_Toc274486914"/>
      <w:bookmarkEnd w:id="4"/>
      <w:bookmarkEnd w:id="5"/>
    </w:p>
    <w:p w:rsidR="008B03B3" w:rsidRPr="00DB5A25" w:rsidRDefault="008B03B3" w:rsidP="00DB5A25">
      <w:pPr>
        <w:keepNext/>
        <w:jc w:val="both"/>
        <w:rPr>
          <w:b/>
        </w:rPr>
      </w:pPr>
      <w:r w:rsidRPr="00DB5A25">
        <w:rPr>
          <w:b/>
        </w:rPr>
        <w:t>A kialakítandó Labor Rendszer tervezett fizikai architektúrája</w:t>
      </w:r>
      <w:bookmarkEnd w:id="15"/>
    </w:p>
    <w:p w:rsidR="008B03B3" w:rsidRDefault="008B03B3" w:rsidP="008B03B3">
      <w:pPr>
        <w:jc w:val="both"/>
      </w:pPr>
      <w:r w:rsidRPr="00F7130E">
        <w:t>A megvalósításra kerülő Labor Rendszer az OSZIR rendszer része lesz, így illeszkednie kell az OSZIR hardver architektúrába, azaz az alkalmazásnak fizikailag az „OSZIR alkalmazás szerverre”, az adatbázisnak pedig az „OSZIR adatbázis szerverre”, (amely Oracle Exadata) kell kerülnie. Természetesen az éles környezettel párhuzamosan a teszt és migrációs környezet kialakítása is követelmény.</w:t>
      </w:r>
    </w:p>
    <w:p w:rsidR="00DB5A25" w:rsidRPr="00F7130E" w:rsidRDefault="00DB5A25" w:rsidP="008B03B3">
      <w:pPr>
        <w:jc w:val="both"/>
      </w:pPr>
    </w:p>
    <w:p w:rsidR="008B03B3" w:rsidRPr="00DB5A25" w:rsidRDefault="008B03B3" w:rsidP="00DB5A25">
      <w:pPr>
        <w:keepNext/>
        <w:jc w:val="both"/>
        <w:rPr>
          <w:b/>
        </w:rPr>
      </w:pPr>
      <w:bookmarkStart w:id="16" w:name="_Toc274486953"/>
      <w:r w:rsidRPr="00DB5A25">
        <w:rPr>
          <w:b/>
        </w:rPr>
        <w:t>Webes alkalmazás</w:t>
      </w:r>
      <w:bookmarkEnd w:id="16"/>
    </w:p>
    <w:p w:rsidR="008B03B3" w:rsidRDefault="008B03B3" w:rsidP="008B03B3">
      <w:pPr>
        <w:jc w:val="both"/>
      </w:pPr>
      <w:r w:rsidRPr="00F7130E">
        <w:t>A Labor Rendszernek az OTH központi szerverein üzemelő, az OTH portáljáról a központi autentikáción keresztül elérhető Webes alkalmazásként kell működnie. Webes alkalmazás alatt böngészőből interneten keresztül elérhető online alkalmazást értünk.</w:t>
      </w:r>
    </w:p>
    <w:p w:rsidR="00DB5A25" w:rsidRPr="00F7130E" w:rsidRDefault="00DB5A25" w:rsidP="008B03B3">
      <w:pPr>
        <w:jc w:val="both"/>
      </w:pPr>
    </w:p>
    <w:p w:rsidR="008B03B3" w:rsidRPr="00DB5A25" w:rsidRDefault="008B03B3" w:rsidP="00DB5A25">
      <w:pPr>
        <w:keepNext/>
        <w:jc w:val="both"/>
        <w:rPr>
          <w:b/>
        </w:rPr>
      </w:pPr>
      <w:bookmarkStart w:id="17" w:name="_Toc274486956"/>
      <w:r w:rsidRPr="00DB5A25">
        <w:rPr>
          <w:b/>
        </w:rPr>
        <w:t>Rendszer kapcsolatok</w:t>
      </w:r>
      <w:bookmarkEnd w:id="17"/>
    </w:p>
    <w:p w:rsidR="008B03B3" w:rsidRPr="00F7130E" w:rsidRDefault="008B03B3" w:rsidP="008B03B3">
      <w:pPr>
        <w:jc w:val="both"/>
      </w:pPr>
      <w:r w:rsidRPr="00F7130E">
        <w:t xml:space="preserve"> A Labor Rendszer szempontjából kétféle rendszer kapcsolatot különböztetünk meg:</w:t>
      </w:r>
    </w:p>
    <w:p w:rsidR="008B03B3" w:rsidRPr="00F7130E" w:rsidRDefault="008B03B3" w:rsidP="008B03B3">
      <w:pPr>
        <w:pStyle w:val="Listaszerbekezds"/>
        <w:numPr>
          <w:ilvl w:val="0"/>
          <w:numId w:val="3"/>
        </w:numPr>
        <w:spacing w:line="360" w:lineRule="auto"/>
        <w:jc w:val="both"/>
      </w:pPr>
      <w:r w:rsidRPr="00F7130E">
        <w:t>Az OSZIR rendszeren belüli kapcsolatokat;</w:t>
      </w:r>
    </w:p>
    <w:p w:rsidR="008B03B3" w:rsidRPr="00F7130E" w:rsidRDefault="008B03B3" w:rsidP="008B03B3">
      <w:pPr>
        <w:pStyle w:val="Listaszerbekezds"/>
        <w:numPr>
          <w:ilvl w:val="0"/>
          <w:numId w:val="3"/>
        </w:numPr>
        <w:spacing w:line="360" w:lineRule="auto"/>
        <w:jc w:val="both"/>
      </w:pPr>
      <w:r w:rsidRPr="00F7130E">
        <w:t>Illetve a Külső rendszer kapcsolatokat.</w:t>
      </w:r>
    </w:p>
    <w:p w:rsidR="00DB5A25" w:rsidRDefault="00DB5A25" w:rsidP="00DB5A25">
      <w:pPr>
        <w:keepNext/>
        <w:jc w:val="both"/>
        <w:rPr>
          <w:b/>
        </w:rPr>
      </w:pPr>
      <w:bookmarkStart w:id="18" w:name="_Toc353377792"/>
      <w:bookmarkStart w:id="19" w:name="_Toc274486957"/>
    </w:p>
    <w:p w:rsidR="008B03B3" w:rsidRPr="00DB5A25" w:rsidRDefault="008B03B3" w:rsidP="00DB5A25">
      <w:pPr>
        <w:keepNext/>
        <w:jc w:val="both"/>
        <w:rPr>
          <w:b/>
        </w:rPr>
      </w:pPr>
      <w:r w:rsidRPr="00DB5A25">
        <w:rPr>
          <w:b/>
        </w:rPr>
        <w:t>OSZIR rendszeren belüli kapcsolatok</w:t>
      </w:r>
      <w:bookmarkEnd w:id="18"/>
      <w:bookmarkEnd w:id="19"/>
    </w:p>
    <w:p w:rsidR="008B03B3" w:rsidRPr="00F7130E" w:rsidRDefault="008B03B3" w:rsidP="008B03B3">
      <w:pPr>
        <w:jc w:val="both"/>
      </w:pPr>
      <w:r w:rsidRPr="00F7130E">
        <w:t>A Labor Rendszer az alábbi OSZIR rendszer komponensekkel lesz kapcsolatban.</w:t>
      </w:r>
    </w:p>
    <w:p w:rsidR="008B03B3" w:rsidRPr="00DB5A25" w:rsidRDefault="008B03B3" w:rsidP="00DB5A25">
      <w:pPr>
        <w:keepNext/>
        <w:jc w:val="both"/>
        <w:rPr>
          <w:b/>
          <w:i/>
        </w:rPr>
      </w:pPr>
      <w:bookmarkStart w:id="20" w:name="_Toc353377793"/>
      <w:bookmarkStart w:id="21" w:name="_Toc274486958"/>
      <w:r w:rsidRPr="00DB5A25">
        <w:rPr>
          <w:b/>
          <w:i/>
        </w:rPr>
        <w:lastRenderedPageBreak/>
        <w:t>OSZIR Jogosultságkezelő modul</w:t>
      </w:r>
      <w:bookmarkEnd w:id="20"/>
      <w:bookmarkEnd w:id="21"/>
    </w:p>
    <w:p w:rsidR="008B03B3" w:rsidRPr="00F7130E" w:rsidRDefault="008B03B3" w:rsidP="008B03B3">
      <w:pPr>
        <w:spacing w:before="120" w:after="120"/>
        <w:jc w:val="both"/>
      </w:pPr>
      <w:r w:rsidRPr="00F7130E">
        <w:t>A jogosultságkezelő modul használata kötelező annak érdekében, hogy a felhasználóknak ne kelljen külön regisztrálniuk a rendszer eléréséhez, hanem azokat a közös szolgáltatásokon keresztül érjék el.</w:t>
      </w:r>
    </w:p>
    <w:p w:rsidR="008B03B3" w:rsidRPr="00DB5A25" w:rsidRDefault="008B03B3" w:rsidP="00DB5A25">
      <w:pPr>
        <w:keepNext/>
        <w:jc w:val="both"/>
        <w:rPr>
          <w:b/>
          <w:i/>
        </w:rPr>
      </w:pPr>
      <w:bookmarkStart w:id="22" w:name="_Toc353377794"/>
      <w:bookmarkStart w:id="23" w:name="_Toc274486959"/>
      <w:r w:rsidRPr="00DB5A25">
        <w:rPr>
          <w:b/>
          <w:i/>
        </w:rPr>
        <w:t>HUMVI szakrendszer</w:t>
      </w:r>
      <w:bookmarkEnd w:id="22"/>
      <w:bookmarkEnd w:id="23"/>
    </w:p>
    <w:p w:rsidR="008B03B3" w:rsidRPr="00F7130E" w:rsidRDefault="008B03B3" w:rsidP="008B03B3">
      <w:pPr>
        <w:jc w:val="both"/>
      </w:pPr>
      <w:r w:rsidRPr="00F7130E">
        <w:t>A Labor Rendszernek interfészen keresztül kapcsolatot kell létesítenie a HUMVI szakrendszerrel.  A kapcsolatnak lehetővé kell tennie a teljeskörű adatcserét a két rendszer között.</w:t>
      </w:r>
    </w:p>
    <w:p w:rsidR="008B03B3" w:rsidRPr="00DB5A25" w:rsidRDefault="008B03B3" w:rsidP="00DB5A25">
      <w:pPr>
        <w:keepNext/>
        <w:jc w:val="both"/>
        <w:rPr>
          <w:b/>
          <w:i/>
        </w:rPr>
      </w:pPr>
      <w:bookmarkStart w:id="24" w:name="_Toc353377799"/>
      <w:bookmarkStart w:id="25" w:name="_Toc274486964"/>
      <w:r w:rsidRPr="00DB5A25">
        <w:rPr>
          <w:b/>
          <w:i/>
        </w:rPr>
        <w:t>Rendszer kapcsolatok</w:t>
      </w:r>
      <w:bookmarkEnd w:id="24"/>
      <w:bookmarkEnd w:id="25"/>
      <w:r w:rsidRPr="00DB5A25">
        <w:rPr>
          <w:b/>
          <w:i/>
        </w:rPr>
        <w:t>kal szembeni technológiai elvárások</w:t>
      </w:r>
    </w:p>
    <w:p w:rsidR="008B03B3" w:rsidRDefault="008B03B3" w:rsidP="008B03B3">
      <w:pPr>
        <w:jc w:val="both"/>
      </w:pPr>
      <w:r w:rsidRPr="00F7130E">
        <w:t xml:space="preserve">Minden interfész kapcsolatot </w:t>
      </w:r>
      <w:r w:rsidRPr="00F7130E">
        <w:rPr>
          <w:b/>
        </w:rPr>
        <w:t>Webservice technológiával, és XML adatformátumban</w:t>
      </w:r>
      <w:r w:rsidRPr="00F7130E">
        <w:t xml:space="preserve"> és az OTH közös tanúsítványkezelésével integráltan kell megvalósítani.</w:t>
      </w:r>
    </w:p>
    <w:p w:rsidR="00DB5A25" w:rsidRPr="00F7130E" w:rsidRDefault="00DB5A25" w:rsidP="008B03B3">
      <w:pPr>
        <w:jc w:val="both"/>
      </w:pPr>
    </w:p>
    <w:p w:rsidR="008B03B3" w:rsidRPr="00DB5A25" w:rsidRDefault="008B03B3" w:rsidP="00DB5A25">
      <w:pPr>
        <w:keepNext/>
        <w:jc w:val="both"/>
        <w:rPr>
          <w:b/>
        </w:rPr>
      </w:pPr>
      <w:bookmarkStart w:id="26" w:name="_MON_1299229093"/>
      <w:bookmarkStart w:id="27" w:name="_MON_1299229102"/>
      <w:bookmarkStart w:id="28" w:name="_Toc353377835"/>
      <w:bookmarkStart w:id="29" w:name="_Toc287392784"/>
      <w:bookmarkEnd w:id="26"/>
      <w:bookmarkEnd w:id="27"/>
      <w:r w:rsidRPr="00DB5A25">
        <w:rPr>
          <w:b/>
        </w:rPr>
        <w:t>Jelenlegi hardver, szoftver elemek</w:t>
      </w:r>
      <w:bookmarkEnd w:id="28"/>
      <w:bookmarkEnd w:id="29"/>
      <w:r w:rsidR="00DB5A25">
        <w:rPr>
          <w:b/>
        </w:rPr>
        <w:t>:</w:t>
      </w:r>
    </w:p>
    <w:p w:rsidR="008B03B3" w:rsidRPr="00DB5A25" w:rsidRDefault="008B03B3" w:rsidP="00DB5A25">
      <w:pPr>
        <w:spacing w:line="240" w:lineRule="auto"/>
        <w:jc w:val="both"/>
        <w:rPr>
          <w:u w:val="single"/>
        </w:rPr>
      </w:pPr>
      <w:r w:rsidRPr="00DB5A25">
        <w:rPr>
          <w:u w:val="single"/>
        </w:rPr>
        <w:t>VMware környezetet kiszolgáló eszközök:</w:t>
      </w:r>
    </w:p>
    <w:p w:rsidR="008B03B3" w:rsidRPr="00F7130E" w:rsidRDefault="008B03B3" w:rsidP="00DB5A25">
      <w:pPr>
        <w:spacing w:line="240" w:lineRule="auto"/>
        <w:jc w:val="both"/>
        <w:rPr>
          <w:b/>
        </w:rPr>
      </w:pPr>
      <w:r w:rsidRPr="00F7130E">
        <w:rPr>
          <w:b/>
        </w:rPr>
        <w:t>FKP (Főközpont)</w:t>
      </w:r>
    </w:p>
    <w:p w:rsidR="008B03B3" w:rsidRPr="00F7130E" w:rsidRDefault="008B03B3" w:rsidP="00DB5A25">
      <w:pPr>
        <w:spacing w:line="240" w:lineRule="auto"/>
        <w:jc w:val="both"/>
      </w:pPr>
      <w:r w:rsidRPr="00F7130E">
        <w:t>Hostok:</w:t>
      </w:r>
    </w:p>
    <w:p w:rsidR="008B03B3" w:rsidRPr="00F7130E" w:rsidRDefault="008B03B3" w:rsidP="00DB5A25">
      <w:pPr>
        <w:pStyle w:val="Listaszerbekezds"/>
        <w:numPr>
          <w:ilvl w:val="0"/>
          <w:numId w:val="4"/>
        </w:numPr>
        <w:spacing w:after="0" w:line="240" w:lineRule="auto"/>
        <w:jc w:val="both"/>
      </w:pPr>
      <w:r w:rsidRPr="00F7130E">
        <w:t>4db HP Proliant BL680C G5</w:t>
      </w:r>
    </w:p>
    <w:p w:rsidR="008B03B3" w:rsidRPr="00F7130E" w:rsidRDefault="008B03B3" w:rsidP="00DB5A25">
      <w:pPr>
        <w:pStyle w:val="Listaszerbekezds"/>
        <w:numPr>
          <w:ilvl w:val="1"/>
          <w:numId w:val="4"/>
        </w:numPr>
        <w:spacing w:after="0" w:line="240" w:lineRule="auto"/>
        <w:jc w:val="both"/>
      </w:pPr>
      <w:r w:rsidRPr="00F7130E">
        <w:t>4db Intel Xeon E7440 2,4 GHz CPU</w:t>
      </w:r>
    </w:p>
    <w:p w:rsidR="008B03B3" w:rsidRPr="00F7130E" w:rsidRDefault="008B03B3" w:rsidP="00DB5A25">
      <w:pPr>
        <w:pStyle w:val="Listaszerbekezds"/>
        <w:numPr>
          <w:ilvl w:val="1"/>
          <w:numId w:val="4"/>
        </w:numPr>
        <w:spacing w:after="0" w:line="240" w:lineRule="auto"/>
        <w:jc w:val="both"/>
      </w:pPr>
      <w:r w:rsidRPr="00F7130E">
        <w:t>64GB RAM</w:t>
      </w:r>
    </w:p>
    <w:p w:rsidR="008B03B3" w:rsidRPr="00F7130E" w:rsidRDefault="008B03B3" w:rsidP="00DB5A25">
      <w:pPr>
        <w:pStyle w:val="Listaszerbekezds"/>
        <w:numPr>
          <w:ilvl w:val="0"/>
          <w:numId w:val="4"/>
        </w:numPr>
        <w:spacing w:after="0" w:line="240" w:lineRule="auto"/>
        <w:jc w:val="both"/>
      </w:pPr>
      <w:r w:rsidRPr="00F7130E">
        <w:t>ESX 4.0 Hypervisor</w:t>
      </w:r>
    </w:p>
    <w:p w:rsidR="008B03B3" w:rsidRPr="00F7130E" w:rsidRDefault="008B03B3" w:rsidP="00DB5A25">
      <w:pPr>
        <w:spacing w:before="240" w:line="240" w:lineRule="auto"/>
        <w:jc w:val="both"/>
      </w:pPr>
      <w:r w:rsidRPr="00F7130E">
        <w:t>Storage:</w:t>
      </w:r>
    </w:p>
    <w:p w:rsidR="008B03B3" w:rsidRPr="00F7130E" w:rsidRDefault="008B03B3" w:rsidP="00DB5A25">
      <w:pPr>
        <w:pStyle w:val="Listaszerbekezds"/>
        <w:numPr>
          <w:ilvl w:val="0"/>
          <w:numId w:val="4"/>
        </w:numPr>
        <w:spacing w:after="0" w:line="240" w:lineRule="auto"/>
        <w:jc w:val="both"/>
      </w:pPr>
      <w:r w:rsidRPr="00F7130E">
        <w:t>1db HP EVA 4400</w:t>
      </w:r>
    </w:p>
    <w:p w:rsidR="008B03B3" w:rsidRPr="00F7130E" w:rsidRDefault="008B03B3" w:rsidP="00DB5A25">
      <w:pPr>
        <w:pStyle w:val="Listaszerbekezds"/>
        <w:numPr>
          <w:ilvl w:val="1"/>
          <w:numId w:val="4"/>
        </w:numPr>
        <w:spacing w:after="0" w:line="240" w:lineRule="auto"/>
        <w:jc w:val="both"/>
      </w:pPr>
      <w:r w:rsidRPr="00F7130E">
        <w:t>2 db disk enclosure</w:t>
      </w:r>
    </w:p>
    <w:p w:rsidR="008B03B3" w:rsidRPr="00F7130E" w:rsidRDefault="008B03B3" w:rsidP="00DB5A25">
      <w:pPr>
        <w:pStyle w:val="Listaszerbekezds"/>
        <w:numPr>
          <w:ilvl w:val="1"/>
          <w:numId w:val="4"/>
        </w:numPr>
        <w:spacing w:after="0" w:line="240" w:lineRule="auto"/>
        <w:jc w:val="both"/>
      </w:pPr>
      <w:r w:rsidRPr="00F7130E">
        <w:t>24db 450GB HDD</w:t>
      </w:r>
    </w:p>
    <w:p w:rsidR="008B03B3" w:rsidRPr="00F7130E" w:rsidRDefault="008B03B3" w:rsidP="00DB5A25">
      <w:pPr>
        <w:pStyle w:val="Listaszerbekezds"/>
        <w:numPr>
          <w:ilvl w:val="1"/>
          <w:numId w:val="4"/>
        </w:numPr>
        <w:spacing w:after="0" w:line="240" w:lineRule="auto"/>
        <w:jc w:val="both"/>
      </w:pPr>
      <w:r w:rsidRPr="00F7130E">
        <w:t>9215GB tárolókapacitás</w:t>
      </w:r>
    </w:p>
    <w:p w:rsidR="008B03B3" w:rsidRPr="00F7130E" w:rsidRDefault="008B03B3" w:rsidP="00DB5A25">
      <w:pPr>
        <w:pStyle w:val="Listaszerbekezds"/>
        <w:numPr>
          <w:ilvl w:val="0"/>
          <w:numId w:val="4"/>
        </w:numPr>
        <w:spacing w:after="0" w:line="240" w:lineRule="auto"/>
        <w:jc w:val="both"/>
      </w:pPr>
      <w:r w:rsidRPr="00F7130E">
        <w:t>1db EMC VNX5100</w:t>
      </w:r>
    </w:p>
    <w:p w:rsidR="008B03B3" w:rsidRPr="00F7130E" w:rsidRDefault="008B03B3" w:rsidP="00DB5A25">
      <w:pPr>
        <w:pStyle w:val="Listaszerbekezds"/>
        <w:numPr>
          <w:ilvl w:val="1"/>
          <w:numId w:val="4"/>
        </w:numPr>
        <w:spacing w:after="0" w:line="240" w:lineRule="auto"/>
        <w:jc w:val="both"/>
      </w:pPr>
      <w:r w:rsidRPr="00F7130E">
        <w:t>10db 600GB HDD</w:t>
      </w:r>
    </w:p>
    <w:p w:rsidR="008B03B3" w:rsidRPr="00F7130E" w:rsidRDefault="008B03B3" w:rsidP="00DB5A25">
      <w:pPr>
        <w:pStyle w:val="Listaszerbekezds"/>
        <w:numPr>
          <w:ilvl w:val="1"/>
          <w:numId w:val="4"/>
        </w:numPr>
        <w:spacing w:after="0" w:line="240" w:lineRule="auto"/>
        <w:jc w:val="both"/>
      </w:pPr>
      <w:r w:rsidRPr="00F7130E">
        <w:t>5db szabad disk fiók</w:t>
      </w:r>
    </w:p>
    <w:p w:rsidR="008B03B3" w:rsidRPr="00F7130E" w:rsidRDefault="008B03B3" w:rsidP="00DB5A25">
      <w:pPr>
        <w:pStyle w:val="Listaszerbekezds"/>
        <w:numPr>
          <w:ilvl w:val="0"/>
          <w:numId w:val="4"/>
        </w:numPr>
        <w:spacing w:after="0" w:line="240" w:lineRule="auto"/>
        <w:jc w:val="both"/>
      </w:pPr>
      <w:r w:rsidRPr="00F7130E">
        <w:t>1db HP MSA2000</w:t>
      </w:r>
    </w:p>
    <w:p w:rsidR="008B03B3" w:rsidRPr="00F7130E" w:rsidRDefault="008B03B3" w:rsidP="00DB5A25">
      <w:pPr>
        <w:pStyle w:val="Listaszerbekezds"/>
        <w:numPr>
          <w:ilvl w:val="1"/>
          <w:numId w:val="4"/>
        </w:numPr>
        <w:spacing w:after="0" w:line="240" w:lineRule="auto"/>
        <w:jc w:val="both"/>
      </w:pPr>
      <w:r w:rsidRPr="00F7130E">
        <w:t>3db disk enclosure</w:t>
      </w:r>
    </w:p>
    <w:p w:rsidR="008B03B3" w:rsidRPr="00F7130E" w:rsidRDefault="008B03B3" w:rsidP="00DB5A25">
      <w:pPr>
        <w:pStyle w:val="Listaszerbekezds"/>
        <w:numPr>
          <w:ilvl w:val="1"/>
          <w:numId w:val="4"/>
        </w:numPr>
        <w:spacing w:after="0" w:line="240" w:lineRule="auto"/>
        <w:jc w:val="both"/>
      </w:pPr>
      <w:r w:rsidRPr="00F7130E">
        <w:t>19db 300GB HDD</w:t>
      </w:r>
    </w:p>
    <w:p w:rsidR="008B03B3" w:rsidRPr="00F7130E" w:rsidRDefault="008B03B3" w:rsidP="00DB5A25">
      <w:pPr>
        <w:pStyle w:val="Listaszerbekezds"/>
        <w:numPr>
          <w:ilvl w:val="1"/>
          <w:numId w:val="4"/>
        </w:numPr>
        <w:spacing w:after="0" w:line="240" w:lineRule="auto"/>
        <w:jc w:val="both"/>
      </w:pPr>
      <w:r w:rsidRPr="00F7130E">
        <w:t>3db 450GB HDD</w:t>
      </w:r>
    </w:p>
    <w:p w:rsidR="008B03B3" w:rsidRPr="00F7130E" w:rsidRDefault="008B03B3" w:rsidP="00DB5A25">
      <w:pPr>
        <w:pStyle w:val="Listaszerbekezds"/>
        <w:numPr>
          <w:ilvl w:val="1"/>
          <w:numId w:val="4"/>
        </w:numPr>
        <w:spacing w:after="0" w:line="240" w:lineRule="auto"/>
        <w:jc w:val="both"/>
      </w:pPr>
      <w:r w:rsidRPr="00F7130E">
        <w:t>6db 146GB HDD</w:t>
      </w:r>
    </w:p>
    <w:p w:rsidR="008B03B3" w:rsidRPr="00F7130E" w:rsidRDefault="008B03B3" w:rsidP="00DB5A25">
      <w:pPr>
        <w:pStyle w:val="Listaszerbekezds"/>
        <w:numPr>
          <w:ilvl w:val="1"/>
          <w:numId w:val="4"/>
        </w:numPr>
        <w:spacing w:after="0" w:line="240" w:lineRule="auto"/>
        <w:jc w:val="both"/>
      </w:pPr>
      <w:r w:rsidRPr="00F7130E">
        <w:t>8db szabad disk fiók</w:t>
      </w:r>
    </w:p>
    <w:p w:rsidR="008B03B3" w:rsidRPr="00F7130E" w:rsidRDefault="008B03B3" w:rsidP="00DB5A25">
      <w:pPr>
        <w:spacing w:line="240" w:lineRule="auto"/>
        <w:jc w:val="both"/>
      </w:pPr>
      <w:r w:rsidRPr="00F7130E">
        <w:t>Mentés:</w:t>
      </w:r>
    </w:p>
    <w:p w:rsidR="008B03B3" w:rsidRPr="00F7130E" w:rsidRDefault="008B03B3" w:rsidP="00DB5A25">
      <w:pPr>
        <w:pStyle w:val="Listaszerbekezds"/>
        <w:numPr>
          <w:ilvl w:val="0"/>
          <w:numId w:val="4"/>
        </w:numPr>
        <w:spacing w:after="0" w:line="240" w:lineRule="auto"/>
        <w:jc w:val="both"/>
      </w:pPr>
      <w:r w:rsidRPr="00F7130E">
        <w:t>1db EMC DataDomain DD630</w:t>
      </w:r>
    </w:p>
    <w:p w:rsidR="008B03B3" w:rsidRPr="00F7130E" w:rsidRDefault="008B03B3" w:rsidP="00DB5A25">
      <w:pPr>
        <w:pStyle w:val="Listaszerbekezds"/>
        <w:numPr>
          <w:ilvl w:val="1"/>
          <w:numId w:val="4"/>
        </w:numPr>
        <w:spacing w:after="0" w:line="240" w:lineRule="auto"/>
        <w:jc w:val="both"/>
      </w:pPr>
      <w:r w:rsidRPr="00F7130E">
        <w:t>7db 1TB HDD</w:t>
      </w:r>
    </w:p>
    <w:p w:rsidR="008B03B3" w:rsidRPr="00F7130E" w:rsidRDefault="008B03B3" w:rsidP="00DB5A25">
      <w:pPr>
        <w:pStyle w:val="Listaszerbekezds"/>
        <w:numPr>
          <w:ilvl w:val="1"/>
          <w:numId w:val="4"/>
        </w:numPr>
        <w:spacing w:after="0" w:line="240" w:lineRule="auto"/>
        <w:jc w:val="both"/>
      </w:pPr>
      <w:r w:rsidRPr="00F7130E">
        <w:t>7db 1TB HDD</w:t>
      </w:r>
    </w:p>
    <w:p w:rsidR="008B03B3" w:rsidRPr="00F7130E" w:rsidRDefault="008B03B3" w:rsidP="00DB5A25">
      <w:pPr>
        <w:pStyle w:val="Listaszerbekezds"/>
        <w:numPr>
          <w:ilvl w:val="0"/>
          <w:numId w:val="4"/>
        </w:numPr>
        <w:spacing w:after="0" w:line="240" w:lineRule="auto"/>
        <w:jc w:val="both"/>
      </w:pPr>
      <w:r w:rsidRPr="00F7130E">
        <w:t>1db MSL6000 szalagos meghajtó</w:t>
      </w:r>
    </w:p>
    <w:p w:rsidR="00DB5A25" w:rsidRDefault="00DB5A25">
      <w:pPr>
        <w:spacing w:before="120" w:after="120" w:line="240" w:lineRule="auto"/>
      </w:pPr>
      <w:r>
        <w:br w:type="page"/>
      </w:r>
    </w:p>
    <w:p w:rsidR="008B03B3" w:rsidRPr="00F7130E" w:rsidRDefault="008B03B3" w:rsidP="00DB5A25">
      <w:pPr>
        <w:spacing w:before="240" w:line="240" w:lineRule="auto"/>
        <w:jc w:val="both"/>
      </w:pPr>
      <w:r w:rsidRPr="00F7130E">
        <w:lastRenderedPageBreak/>
        <w:t>Egyéb:</w:t>
      </w:r>
    </w:p>
    <w:p w:rsidR="008B03B3" w:rsidRPr="00F7130E" w:rsidRDefault="008B03B3" w:rsidP="00DB5A25">
      <w:pPr>
        <w:pStyle w:val="Listaszerbekezds"/>
        <w:numPr>
          <w:ilvl w:val="0"/>
          <w:numId w:val="4"/>
        </w:numPr>
        <w:spacing w:after="0" w:line="240" w:lineRule="auto"/>
        <w:jc w:val="both"/>
      </w:pPr>
      <w:r w:rsidRPr="00F7130E">
        <w:t>1db HP Proliant BL460c G6 Virtual Center szerver 1db HP Proliant</w:t>
      </w:r>
    </w:p>
    <w:p w:rsidR="008B03B3" w:rsidRPr="00F7130E" w:rsidRDefault="008B03B3" w:rsidP="00DB5A25">
      <w:pPr>
        <w:pStyle w:val="Listaszerbekezds"/>
        <w:numPr>
          <w:ilvl w:val="0"/>
          <w:numId w:val="4"/>
        </w:numPr>
        <w:spacing w:after="0" w:line="240" w:lineRule="auto"/>
        <w:jc w:val="both"/>
      </w:pPr>
      <w:r w:rsidRPr="00F7130E">
        <w:t>BL460c G6 Management szerver</w:t>
      </w:r>
    </w:p>
    <w:p w:rsidR="00DB5A25" w:rsidRDefault="00DB5A25" w:rsidP="00DB5A25">
      <w:pPr>
        <w:spacing w:line="240" w:lineRule="auto"/>
        <w:jc w:val="both"/>
        <w:rPr>
          <w:b/>
        </w:rPr>
      </w:pPr>
    </w:p>
    <w:p w:rsidR="008B03B3" w:rsidRPr="00F7130E" w:rsidRDefault="008B03B3" w:rsidP="00DB5A25">
      <w:pPr>
        <w:spacing w:line="240" w:lineRule="auto"/>
        <w:jc w:val="both"/>
        <w:rPr>
          <w:b/>
        </w:rPr>
      </w:pPr>
      <w:r w:rsidRPr="00F7130E">
        <w:rPr>
          <w:b/>
        </w:rPr>
        <w:t>HKP (Háttérközpont)</w:t>
      </w:r>
    </w:p>
    <w:p w:rsidR="008B03B3" w:rsidRPr="00F7130E" w:rsidRDefault="008B03B3" w:rsidP="00DB5A25">
      <w:pPr>
        <w:spacing w:line="240" w:lineRule="auto"/>
        <w:jc w:val="both"/>
      </w:pPr>
      <w:r w:rsidRPr="00F7130E">
        <w:t>Hostok:</w:t>
      </w:r>
    </w:p>
    <w:p w:rsidR="008B03B3" w:rsidRPr="00F7130E" w:rsidRDefault="008B03B3" w:rsidP="00DB5A25">
      <w:pPr>
        <w:pStyle w:val="Listaszerbekezds"/>
        <w:numPr>
          <w:ilvl w:val="0"/>
          <w:numId w:val="4"/>
        </w:numPr>
        <w:spacing w:after="0" w:line="240" w:lineRule="auto"/>
        <w:jc w:val="both"/>
      </w:pPr>
      <w:r w:rsidRPr="00F7130E">
        <w:t>4db HP Proliant BL680C G5</w:t>
      </w:r>
    </w:p>
    <w:p w:rsidR="008B03B3" w:rsidRPr="00F7130E" w:rsidRDefault="008B03B3" w:rsidP="00DB5A25">
      <w:pPr>
        <w:pStyle w:val="Listaszerbekezds"/>
        <w:numPr>
          <w:ilvl w:val="1"/>
          <w:numId w:val="4"/>
        </w:numPr>
        <w:spacing w:after="0" w:line="240" w:lineRule="auto"/>
        <w:jc w:val="both"/>
      </w:pPr>
      <w:r w:rsidRPr="00F7130E">
        <w:t>4db Intel Xeon E7440 2,4 GHz CPU</w:t>
      </w:r>
    </w:p>
    <w:p w:rsidR="008B03B3" w:rsidRPr="00F7130E" w:rsidRDefault="008B03B3" w:rsidP="00DB5A25">
      <w:pPr>
        <w:pStyle w:val="Listaszerbekezds"/>
        <w:numPr>
          <w:ilvl w:val="1"/>
          <w:numId w:val="4"/>
        </w:numPr>
        <w:spacing w:after="0" w:line="240" w:lineRule="auto"/>
        <w:jc w:val="both"/>
      </w:pPr>
      <w:r w:rsidRPr="00F7130E">
        <w:t>64GB RAM</w:t>
      </w:r>
    </w:p>
    <w:p w:rsidR="008B03B3" w:rsidRPr="00F7130E" w:rsidRDefault="008B03B3" w:rsidP="00DB5A25">
      <w:pPr>
        <w:pStyle w:val="Listaszerbekezds"/>
        <w:numPr>
          <w:ilvl w:val="0"/>
          <w:numId w:val="4"/>
        </w:numPr>
        <w:spacing w:after="0" w:line="240" w:lineRule="auto"/>
        <w:jc w:val="both"/>
      </w:pPr>
      <w:r w:rsidRPr="00F7130E">
        <w:t>ESX 4.0 Hypervisor</w:t>
      </w:r>
    </w:p>
    <w:p w:rsidR="008B03B3" w:rsidRPr="00F7130E" w:rsidRDefault="008B03B3" w:rsidP="00DB5A25">
      <w:pPr>
        <w:spacing w:before="240" w:line="240" w:lineRule="auto"/>
        <w:jc w:val="both"/>
      </w:pPr>
      <w:r w:rsidRPr="00F7130E">
        <w:t>Storage:</w:t>
      </w:r>
    </w:p>
    <w:p w:rsidR="008B03B3" w:rsidRPr="00F7130E" w:rsidRDefault="008B03B3" w:rsidP="00DB5A25">
      <w:pPr>
        <w:pStyle w:val="Listaszerbekezds"/>
        <w:numPr>
          <w:ilvl w:val="0"/>
          <w:numId w:val="4"/>
        </w:numPr>
        <w:spacing w:after="0" w:line="240" w:lineRule="auto"/>
        <w:jc w:val="both"/>
      </w:pPr>
      <w:r w:rsidRPr="00F7130E">
        <w:t>1db HP EVA 4400</w:t>
      </w:r>
    </w:p>
    <w:p w:rsidR="008B03B3" w:rsidRPr="00F7130E" w:rsidRDefault="008B03B3" w:rsidP="00DB5A25">
      <w:pPr>
        <w:pStyle w:val="Listaszerbekezds"/>
        <w:numPr>
          <w:ilvl w:val="1"/>
          <w:numId w:val="4"/>
        </w:numPr>
        <w:spacing w:after="0" w:line="240" w:lineRule="auto"/>
        <w:jc w:val="both"/>
      </w:pPr>
      <w:r w:rsidRPr="00F7130E">
        <w:t>2 db disk enclosure</w:t>
      </w:r>
    </w:p>
    <w:p w:rsidR="008B03B3" w:rsidRPr="00F7130E" w:rsidRDefault="008B03B3" w:rsidP="00DB5A25">
      <w:pPr>
        <w:pStyle w:val="Listaszerbekezds"/>
        <w:numPr>
          <w:ilvl w:val="1"/>
          <w:numId w:val="4"/>
        </w:numPr>
        <w:spacing w:after="0" w:line="240" w:lineRule="auto"/>
        <w:jc w:val="both"/>
      </w:pPr>
      <w:r w:rsidRPr="00F7130E">
        <w:t>24db 450GB HDD</w:t>
      </w:r>
    </w:p>
    <w:p w:rsidR="008B03B3" w:rsidRPr="00F7130E" w:rsidRDefault="008B03B3" w:rsidP="00DB5A25">
      <w:pPr>
        <w:pStyle w:val="Listaszerbekezds"/>
        <w:numPr>
          <w:ilvl w:val="1"/>
          <w:numId w:val="4"/>
        </w:numPr>
        <w:spacing w:after="0" w:line="240" w:lineRule="auto"/>
        <w:jc w:val="both"/>
      </w:pPr>
      <w:r w:rsidRPr="00F7130E">
        <w:t>9215GB tárolókapacitás</w:t>
      </w:r>
    </w:p>
    <w:p w:rsidR="008B03B3" w:rsidRPr="00F7130E" w:rsidRDefault="008B03B3" w:rsidP="00DB5A25">
      <w:pPr>
        <w:pStyle w:val="Listaszerbekezds"/>
        <w:numPr>
          <w:ilvl w:val="0"/>
          <w:numId w:val="4"/>
        </w:numPr>
        <w:spacing w:after="0" w:line="240" w:lineRule="auto"/>
        <w:jc w:val="both"/>
      </w:pPr>
      <w:r w:rsidRPr="00F7130E">
        <w:t>1db EMC VNX5100</w:t>
      </w:r>
    </w:p>
    <w:p w:rsidR="008B03B3" w:rsidRPr="00F7130E" w:rsidRDefault="008B03B3" w:rsidP="00DB5A25">
      <w:pPr>
        <w:pStyle w:val="Listaszerbekezds"/>
        <w:numPr>
          <w:ilvl w:val="1"/>
          <w:numId w:val="4"/>
        </w:numPr>
        <w:spacing w:after="0" w:line="240" w:lineRule="auto"/>
        <w:jc w:val="both"/>
      </w:pPr>
      <w:r w:rsidRPr="00F7130E">
        <w:t>10db 600GB HDD</w:t>
      </w:r>
    </w:p>
    <w:p w:rsidR="008B03B3" w:rsidRPr="00F7130E" w:rsidRDefault="008B03B3" w:rsidP="00DB5A25">
      <w:pPr>
        <w:pStyle w:val="Listaszerbekezds"/>
        <w:numPr>
          <w:ilvl w:val="1"/>
          <w:numId w:val="4"/>
        </w:numPr>
        <w:spacing w:after="0" w:line="240" w:lineRule="auto"/>
        <w:jc w:val="both"/>
      </w:pPr>
      <w:r w:rsidRPr="00F7130E">
        <w:t>5db szabad disk fiók</w:t>
      </w:r>
    </w:p>
    <w:p w:rsidR="008B03B3" w:rsidRPr="00F7130E" w:rsidRDefault="008B03B3" w:rsidP="00DB5A25">
      <w:pPr>
        <w:spacing w:line="240" w:lineRule="auto"/>
        <w:jc w:val="both"/>
      </w:pPr>
      <w:r w:rsidRPr="00F7130E">
        <w:t>Egyéb:</w:t>
      </w:r>
    </w:p>
    <w:p w:rsidR="008B03B3" w:rsidRPr="00F7130E" w:rsidRDefault="008B03B3" w:rsidP="00DB5A25">
      <w:pPr>
        <w:pStyle w:val="Listaszerbekezds"/>
        <w:numPr>
          <w:ilvl w:val="0"/>
          <w:numId w:val="4"/>
        </w:numPr>
        <w:spacing w:after="0" w:line="240" w:lineRule="auto"/>
        <w:jc w:val="both"/>
      </w:pPr>
      <w:r w:rsidRPr="00F7130E">
        <w:t>1db HP Proliant BL460c G6 Virtual Center szerver 1db HP Proliant</w:t>
      </w:r>
    </w:p>
    <w:p w:rsidR="00DB5A25" w:rsidRDefault="008B03B3" w:rsidP="00DB5A25">
      <w:pPr>
        <w:pStyle w:val="Listaszerbekezds"/>
        <w:numPr>
          <w:ilvl w:val="0"/>
          <w:numId w:val="4"/>
        </w:numPr>
        <w:spacing w:after="0" w:line="240" w:lineRule="auto"/>
        <w:jc w:val="both"/>
      </w:pPr>
      <w:r w:rsidRPr="00F7130E">
        <w:t>BL460c G6 Management szerver</w:t>
      </w:r>
    </w:p>
    <w:p w:rsidR="00DB5A25" w:rsidRDefault="00DB5A25" w:rsidP="00DB5A25">
      <w:pPr>
        <w:spacing w:line="240" w:lineRule="auto"/>
        <w:jc w:val="both"/>
      </w:pPr>
    </w:p>
    <w:p w:rsidR="008B03B3" w:rsidRPr="00F7130E" w:rsidRDefault="008B03B3" w:rsidP="00DB5A25">
      <w:pPr>
        <w:spacing w:line="240" w:lineRule="auto"/>
        <w:jc w:val="both"/>
      </w:pPr>
      <w:r w:rsidRPr="00F7130E">
        <w:t>Mindezeken felül az OSZIR adatbázis ORACLE adatbázison, az éles rendszer 2 db RedHat operációs szerveren üzemel (alkalmazásszerver, adatbázisszerver). Ugyanilyen kialakítású az OSZIR teszt környezet is.</w:t>
      </w:r>
    </w:p>
    <w:p w:rsidR="008B03B3" w:rsidRPr="00DB5A25" w:rsidRDefault="008B03B3" w:rsidP="00DB5A25">
      <w:pPr>
        <w:spacing w:line="240" w:lineRule="auto"/>
        <w:jc w:val="both"/>
        <w:rPr>
          <w:i/>
        </w:rPr>
      </w:pPr>
      <w:r w:rsidRPr="00DB5A25">
        <w:rPr>
          <w:i/>
        </w:rPr>
        <w:t>Adatbázis szerver:</w:t>
      </w:r>
    </w:p>
    <w:p w:rsidR="008B03B3" w:rsidRPr="00F7130E" w:rsidRDefault="008B03B3" w:rsidP="00DB5A25">
      <w:pPr>
        <w:spacing w:after="0" w:line="240" w:lineRule="auto"/>
        <w:ind w:left="567"/>
        <w:jc w:val="both"/>
      </w:pPr>
      <w:r w:rsidRPr="00F7130E">
        <w:t>Tipus: Oracle Exadata Database Machine X4-3 nyolcad RACK</w:t>
      </w:r>
    </w:p>
    <w:p w:rsidR="008B03B3" w:rsidRPr="00F7130E" w:rsidRDefault="008B03B3" w:rsidP="00DB5A25">
      <w:pPr>
        <w:spacing w:after="0" w:line="240" w:lineRule="auto"/>
        <w:ind w:left="567"/>
        <w:jc w:val="both"/>
        <w:rPr>
          <w:lang w:val="sv-SE"/>
        </w:rPr>
      </w:pPr>
      <w:r w:rsidRPr="00F7130E">
        <w:rPr>
          <w:lang w:val="sv-SE"/>
        </w:rPr>
        <w:t>RAM: 2 X 256 GB</w:t>
      </w:r>
    </w:p>
    <w:p w:rsidR="008B03B3" w:rsidRPr="00F7130E" w:rsidRDefault="008B03B3" w:rsidP="00DB5A25">
      <w:pPr>
        <w:spacing w:after="0" w:line="240" w:lineRule="auto"/>
        <w:ind w:left="567"/>
        <w:jc w:val="both"/>
        <w:rPr>
          <w:lang w:val="sv-SE"/>
        </w:rPr>
      </w:pPr>
      <w:r w:rsidRPr="00F7130E">
        <w:rPr>
          <w:lang w:val="sv-SE"/>
        </w:rPr>
        <w:t>HDD: 72 TB (bruttó)</w:t>
      </w:r>
      <w:r w:rsidR="00DB5A25">
        <w:rPr>
          <w:lang w:val="sv-SE"/>
        </w:rPr>
        <w:t xml:space="preserve">, </w:t>
      </w:r>
      <w:r w:rsidRPr="00F7130E">
        <w:rPr>
          <w:lang w:val="sv-SE"/>
        </w:rPr>
        <w:t>36 TB (nettó, RAC, 2 x tükrözéssel, nagy hibatűrésre állítva)</w:t>
      </w:r>
    </w:p>
    <w:p w:rsidR="00DB5A25" w:rsidRDefault="00DB5A25" w:rsidP="00DB5A25">
      <w:pPr>
        <w:spacing w:line="240" w:lineRule="auto"/>
        <w:jc w:val="both"/>
      </w:pPr>
    </w:p>
    <w:p w:rsidR="008B03B3" w:rsidRPr="00F7130E" w:rsidRDefault="008B03B3" w:rsidP="00DB5A25">
      <w:pPr>
        <w:spacing w:after="0" w:line="240" w:lineRule="auto"/>
        <w:jc w:val="both"/>
      </w:pPr>
      <w:r w:rsidRPr="00F7130E">
        <w:t>Az installált szoftverek és opcióik:</w:t>
      </w:r>
    </w:p>
    <w:tbl>
      <w:tblPr>
        <w:tblW w:w="8320" w:type="dxa"/>
        <w:tblLayout w:type="fixed"/>
        <w:tblLook w:val="0000" w:firstRow="0" w:lastRow="0" w:firstColumn="0" w:lastColumn="0" w:noHBand="0" w:noVBand="0"/>
      </w:tblPr>
      <w:tblGrid>
        <w:gridCol w:w="6961"/>
        <w:gridCol w:w="1359"/>
      </w:tblGrid>
      <w:tr w:rsidR="008B03B3" w:rsidRPr="00F7130E" w:rsidTr="00A15A81">
        <w:tc>
          <w:tcPr>
            <w:tcW w:w="6660" w:type="dxa"/>
            <w:tcBorders>
              <w:top w:val="single" w:sz="8" w:space="0" w:color="000000"/>
              <w:left w:val="single" w:sz="8" w:space="0" w:color="000000"/>
              <w:bottom w:val="single" w:sz="8" w:space="0" w:color="000000"/>
              <w:right w:val="single" w:sz="8" w:space="0" w:color="000000"/>
            </w:tcBorders>
            <w:shd w:val="clear" w:color="auto" w:fill="B3B3B3"/>
            <w:vAlign w:val="center"/>
          </w:tcPr>
          <w:p w:rsidR="008B03B3" w:rsidRPr="00F7130E" w:rsidRDefault="008B03B3" w:rsidP="00DB5A25">
            <w:pPr>
              <w:spacing w:after="0" w:line="240" w:lineRule="auto"/>
              <w:jc w:val="both"/>
            </w:pPr>
            <w:r w:rsidRPr="00F7130E">
              <w:rPr>
                <w:b/>
                <w:bCs/>
              </w:rPr>
              <w:t>Termék megnevezés</w:t>
            </w:r>
          </w:p>
        </w:tc>
        <w:tc>
          <w:tcPr>
            <w:tcW w:w="1300" w:type="dxa"/>
            <w:tcBorders>
              <w:top w:val="single" w:sz="8" w:space="0" w:color="000000"/>
              <w:bottom w:val="single" w:sz="8" w:space="0" w:color="000000"/>
              <w:right w:val="single" w:sz="8" w:space="0" w:color="000000"/>
            </w:tcBorders>
            <w:shd w:val="clear" w:color="auto" w:fill="B3B3B3"/>
            <w:vAlign w:val="center"/>
          </w:tcPr>
          <w:p w:rsidR="008B03B3" w:rsidRPr="00F7130E" w:rsidRDefault="008B03B3" w:rsidP="00DB5A25">
            <w:pPr>
              <w:spacing w:after="0" w:line="240" w:lineRule="auto"/>
              <w:jc w:val="both"/>
            </w:pPr>
            <w:r w:rsidRPr="00F7130E">
              <w:rPr>
                <w:b/>
                <w:bCs/>
              </w:rPr>
              <w:t>Metrika</w:t>
            </w:r>
          </w:p>
        </w:tc>
      </w:tr>
      <w:tr w:rsidR="008B03B3" w:rsidRPr="00F7130E" w:rsidTr="00A15A81">
        <w:tc>
          <w:tcPr>
            <w:tcW w:w="6660" w:type="dxa"/>
            <w:tcBorders>
              <w:left w:val="single" w:sz="8" w:space="0" w:color="000000"/>
              <w:bottom w:val="single" w:sz="8" w:space="0" w:color="000000"/>
              <w:right w:val="single" w:sz="8" w:space="0" w:color="000000"/>
            </w:tcBorders>
            <w:shd w:val="clear" w:color="auto" w:fill="FFFFFF"/>
            <w:vAlign w:val="bottom"/>
          </w:tcPr>
          <w:p w:rsidR="008B03B3" w:rsidRPr="00F7130E" w:rsidRDefault="008B03B3" w:rsidP="00DB5A25">
            <w:pPr>
              <w:spacing w:after="0" w:line="240" w:lineRule="auto"/>
              <w:jc w:val="both"/>
            </w:pPr>
            <w:r w:rsidRPr="00F7130E">
              <w:t>Exadata Database Machine X4-2 HC Eighth Rack incl. 72TB Raw Storage</w:t>
            </w:r>
          </w:p>
        </w:tc>
        <w:tc>
          <w:tcPr>
            <w:tcW w:w="1300" w:type="dxa"/>
            <w:tcBorders>
              <w:bottom w:val="single" w:sz="8" w:space="0" w:color="000000"/>
              <w:right w:val="single" w:sz="8" w:space="0" w:color="000000"/>
            </w:tcBorders>
            <w:vAlign w:val="bottom"/>
          </w:tcPr>
          <w:p w:rsidR="008B03B3" w:rsidRPr="00F7130E" w:rsidRDefault="008B03B3" w:rsidP="00DB5A25">
            <w:pPr>
              <w:spacing w:after="0" w:line="240" w:lineRule="auto"/>
              <w:jc w:val="both"/>
            </w:pPr>
            <w:r w:rsidRPr="00F7130E">
              <w:t>System</w:t>
            </w:r>
          </w:p>
        </w:tc>
      </w:tr>
      <w:tr w:rsidR="008B03B3" w:rsidRPr="00F7130E" w:rsidTr="00A15A81">
        <w:tc>
          <w:tcPr>
            <w:tcW w:w="6660" w:type="dxa"/>
            <w:tcBorders>
              <w:left w:val="single" w:sz="8" w:space="0" w:color="000000"/>
              <w:bottom w:val="single" w:sz="8" w:space="0" w:color="000000"/>
              <w:right w:val="single" w:sz="8" w:space="0" w:color="000000"/>
            </w:tcBorders>
            <w:shd w:val="clear" w:color="auto" w:fill="FFFFFF"/>
            <w:vAlign w:val="bottom"/>
          </w:tcPr>
          <w:p w:rsidR="008B03B3" w:rsidRPr="00F7130E" w:rsidRDefault="008B03B3" w:rsidP="00DB5A25">
            <w:pPr>
              <w:spacing w:after="0" w:line="240" w:lineRule="auto"/>
              <w:jc w:val="both"/>
            </w:pPr>
            <w:r w:rsidRPr="00F7130E">
              <w:t>Exadata Storage Server Software</w:t>
            </w:r>
          </w:p>
        </w:tc>
        <w:tc>
          <w:tcPr>
            <w:tcW w:w="1300" w:type="dxa"/>
            <w:tcBorders>
              <w:bottom w:val="single" w:sz="8" w:space="0" w:color="000000"/>
              <w:right w:val="single" w:sz="8" w:space="0" w:color="000000"/>
            </w:tcBorders>
            <w:vAlign w:val="bottom"/>
          </w:tcPr>
          <w:p w:rsidR="008B03B3" w:rsidRPr="00F7130E" w:rsidRDefault="008B03B3" w:rsidP="00DB5A25">
            <w:pPr>
              <w:spacing w:after="0" w:line="240" w:lineRule="auto"/>
              <w:jc w:val="both"/>
            </w:pPr>
            <w:r w:rsidRPr="00F7130E">
              <w:t>disc drive</w:t>
            </w:r>
          </w:p>
        </w:tc>
      </w:tr>
      <w:tr w:rsidR="008B03B3" w:rsidRPr="00F7130E" w:rsidTr="00A15A81">
        <w:tc>
          <w:tcPr>
            <w:tcW w:w="6660" w:type="dxa"/>
            <w:tcBorders>
              <w:left w:val="single" w:sz="8" w:space="0" w:color="000000"/>
              <w:bottom w:val="single" w:sz="8" w:space="0" w:color="000000"/>
              <w:right w:val="single" w:sz="8" w:space="0" w:color="000000"/>
            </w:tcBorders>
            <w:shd w:val="clear" w:color="auto" w:fill="FFFFFF"/>
            <w:vAlign w:val="bottom"/>
          </w:tcPr>
          <w:p w:rsidR="008B03B3" w:rsidRPr="00F7130E" w:rsidRDefault="008B03B3" w:rsidP="00DB5A25">
            <w:pPr>
              <w:spacing w:after="0" w:line="240" w:lineRule="auto"/>
              <w:jc w:val="both"/>
            </w:pPr>
            <w:r w:rsidRPr="00F7130E">
              <w:t>Oracle Database Enterprise Edition</w:t>
            </w:r>
          </w:p>
        </w:tc>
        <w:tc>
          <w:tcPr>
            <w:tcW w:w="1300" w:type="dxa"/>
            <w:tcBorders>
              <w:bottom w:val="single" w:sz="8" w:space="0" w:color="000000"/>
              <w:right w:val="single" w:sz="8" w:space="0" w:color="000000"/>
            </w:tcBorders>
            <w:vAlign w:val="bottom"/>
          </w:tcPr>
          <w:p w:rsidR="008B03B3" w:rsidRPr="00F7130E" w:rsidRDefault="008B03B3" w:rsidP="00DB5A25">
            <w:pPr>
              <w:spacing w:after="0" w:line="240" w:lineRule="auto"/>
              <w:jc w:val="both"/>
            </w:pPr>
            <w:r w:rsidRPr="00F7130E">
              <w:t>Processor</w:t>
            </w:r>
          </w:p>
        </w:tc>
      </w:tr>
      <w:tr w:rsidR="008B03B3" w:rsidRPr="00F7130E" w:rsidTr="00A15A81">
        <w:tc>
          <w:tcPr>
            <w:tcW w:w="6660" w:type="dxa"/>
            <w:tcBorders>
              <w:left w:val="single" w:sz="8" w:space="0" w:color="000000"/>
              <w:bottom w:val="single" w:sz="8" w:space="0" w:color="000000"/>
              <w:right w:val="single" w:sz="8" w:space="0" w:color="000000"/>
            </w:tcBorders>
            <w:shd w:val="clear" w:color="auto" w:fill="FFFFFF"/>
            <w:vAlign w:val="bottom"/>
          </w:tcPr>
          <w:p w:rsidR="008B03B3" w:rsidRPr="00F7130E" w:rsidRDefault="008B03B3" w:rsidP="00DB5A25">
            <w:pPr>
              <w:spacing w:after="0" w:line="240" w:lineRule="auto"/>
              <w:jc w:val="both"/>
            </w:pPr>
            <w:r w:rsidRPr="00F7130E">
              <w:t>Partitionig</w:t>
            </w:r>
          </w:p>
        </w:tc>
        <w:tc>
          <w:tcPr>
            <w:tcW w:w="1300" w:type="dxa"/>
            <w:tcBorders>
              <w:bottom w:val="single" w:sz="8" w:space="0" w:color="000000"/>
              <w:right w:val="single" w:sz="8" w:space="0" w:color="000000"/>
            </w:tcBorders>
            <w:vAlign w:val="bottom"/>
          </w:tcPr>
          <w:p w:rsidR="008B03B3" w:rsidRPr="00F7130E" w:rsidRDefault="008B03B3" w:rsidP="00DB5A25">
            <w:pPr>
              <w:spacing w:after="0" w:line="240" w:lineRule="auto"/>
              <w:jc w:val="both"/>
            </w:pPr>
            <w:r w:rsidRPr="00F7130E">
              <w:t>Processor</w:t>
            </w:r>
          </w:p>
        </w:tc>
      </w:tr>
      <w:tr w:rsidR="008B03B3" w:rsidRPr="00F7130E" w:rsidTr="00A15A81">
        <w:tc>
          <w:tcPr>
            <w:tcW w:w="6660" w:type="dxa"/>
            <w:tcBorders>
              <w:left w:val="single" w:sz="8" w:space="0" w:color="000000"/>
              <w:bottom w:val="single" w:sz="8" w:space="0" w:color="000000"/>
              <w:right w:val="single" w:sz="8" w:space="0" w:color="000000"/>
            </w:tcBorders>
            <w:shd w:val="clear" w:color="auto" w:fill="FFFFFF"/>
            <w:vAlign w:val="bottom"/>
          </w:tcPr>
          <w:p w:rsidR="008B03B3" w:rsidRPr="00F7130E" w:rsidRDefault="008B03B3" w:rsidP="00DB5A25">
            <w:pPr>
              <w:spacing w:after="0" w:line="240" w:lineRule="auto"/>
              <w:jc w:val="both"/>
              <w:rPr>
                <w:lang w:val="en-US"/>
              </w:rPr>
            </w:pPr>
            <w:r w:rsidRPr="00F7130E">
              <w:rPr>
                <w:lang w:val="en-US"/>
              </w:rPr>
              <w:t>Diagnostics Pack</w:t>
            </w:r>
          </w:p>
        </w:tc>
        <w:tc>
          <w:tcPr>
            <w:tcW w:w="1300" w:type="dxa"/>
            <w:tcBorders>
              <w:bottom w:val="single" w:sz="8" w:space="0" w:color="000000"/>
              <w:right w:val="single" w:sz="8" w:space="0" w:color="000000"/>
            </w:tcBorders>
            <w:vAlign w:val="bottom"/>
          </w:tcPr>
          <w:p w:rsidR="008B03B3" w:rsidRPr="00F7130E" w:rsidRDefault="008B03B3" w:rsidP="00DB5A25">
            <w:pPr>
              <w:spacing w:after="0" w:line="240" w:lineRule="auto"/>
              <w:jc w:val="both"/>
              <w:rPr>
                <w:lang w:val="en-US"/>
              </w:rPr>
            </w:pPr>
            <w:r w:rsidRPr="00F7130E">
              <w:rPr>
                <w:lang w:val="en-US"/>
              </w:rPr>
              <w:t>Processor</w:t>
            </w:r>
          </w:p>
        </w:tc>
      </w:tr>
      <w:tr w:rsidR="008B03B3" w:rsidRPr="00F7130E" w:rsidTr="00A15A81">
        <w:tc>
          <w:tcPr>
            <w:tcW w:w="6660" w:type="dxa"/>
            <w:tcBorders>
              <w:left w:val="single" w:sz="8" w:space="0" w:color="000000"/>
              <w:bottom w:val="single" w:sz="8" w:space="0" w:color="000000"/>
              <w:right w:val="single" w:sz="8" w:space="0" w:color="000000"/>
            </w:tcBorders>
            <w:shd w:val="clear" w:color="auto" w:fill="FFFFFF"/>
            <w:vAlign w:val="bottom"/>
          </w:tcPr>
          <w:p w:rsidR="008B03B3" w:rsidRPr="00F7130E" w:rsidRDefault="008B03B3" w:rsidP="00DB5A25">
            <w:pPr>
              <w:spacing w:after="0" w:line="240" w:lineRule="auto"/>
              <w:jc w:val="both"/>
              <w:rPr>
                <w:lang w:val="en-US"/>
              </w:rPr>
            </w:pPr>
            <w:r w:rsidRPr="00F7130E">
              <w:rPr>
                <w:lang w:val="en-US"/>
              </w:rPr>
              <w:t>Tuning Pack</w:t>
            </w:r>
          </w:p>
        </w:tc>
        <w:tc>
          <w:tcPr>
            <w:tcW w:w="1300" w:type="dxa"/>
            <w:tcBorders>
              <w:bottom w:val="single" w:sz="8" w:space="0" w:color="000000"/>
              <w:right w:val="single" w:sz="8" w:space="0" w:color="000000"/>
            </w:tcBorders>
            <w:vAlign w:val="bottom"/>
          </w:tcPr>
          <w:p w:rsidR="008B03B3" w:rsidRPr="00F7130E" w:rsidRDefault="008B03B3" w:rsidP="00DB5A25">
            <w:pPr>
              <w:spacing w:after="0" w:line="240" w:lineRule="auto"/>
              <w:jc w:val="both"/>
              <w:rPr>
                <w:lang w:val="en-US"/>
              </w:rPr>
            </w:pPr>
            <w:r w:rsidRPr="00F7130E">
              <w:rPr>
                <w:lang w:val="en-US"/>
              </w:rPr>
              <w:t>Processor</w:t>
            </w:r>
          </w:p>
        </w:tc>
      </w:tr>
      <w:tr w:rsidR="008B03B3" w:rsidRPr="00F7130E" w:rsidTr="00A15A81">
        <w:tc>
          <w:tcPr>
            <w:tcW w:w="6660" w:type="dxa"/>
            <w:tcBorders>
              <w:left w:val="single" w:sz="8" w:space="0" w:color="000000"/>
              <w:bottom w:val="single" w:sz="8" w:space="0" w:color="000000"/>
              <w:right w:val="single" w:sz="8" w:space="0" w:color="000000"/>
            </w:tcBorders>
            <w:shd w:val="clear" w:color="auto" w:fill="FFFFFF"/>
            <w:vAlign w:val="bottom"/>
          </w:tcPr>
          <w:p w:rsidR="008B03B3" w:rsidRPr="00F7130E" w:rsidRDefault="008B03B3" w:rsidP="00DB5A25">
            <w:pPr>
              <w:spacing w:after="0" w:line="240" w:lineRule="auto"/>
              <w:jc w:val="both"/>
              <w:rPr>
                <w:lang w:val="en-US"/>
              </w:rPr>
            </w:pPr>
            <w:r w:rsidRPr="00F7130E">
              <w:rPr>
                <w:lang w:val="en-US"/>
              </w:rPr>
              <w:t>Real Application Clusters</w:t>
            </w:r>
          </w:p>
        </w:tc>
        <w:tc>
          <w:tcPr>
            <w:tcW w:w="1300" w:type="dxa"/>
            <w:tcBorders>
              <w:bottom w:val="single" w:sz="8" w:space="0" w:color="000000"/>
              <w:right w:val="single" w:sz="8" w:space="0" w:color="000000"/>
            </w:tcBorders>
            <w:vAlign w:val="bottom"/>
          </w:tcPr>
          <w:p w:rsidR="008B03B3" w:rsidRPr="00F7130E" w:rsidRDefault="008B03B3" w:rsidP="00DB5A25">
            <w:pPr>
              <w:spacing w:after="0" w:line="240" w:lineRule="auto"/>
              <w:jc w:val="both"/>
              <w:rPr>
                <w:lang w:val="en-US"/>
              </w:rPr>
            </w:pPr>
            <w:r w:rsidRPr="00F7130E">
              <w:rPr>
                <w:lang w:val="en-US"/>
              </w:rPr>
              <w:t>Processor</w:t>
            </w:r>
          </w:p>
        </w:tc>
      </w:tr>
    </w:tbl>
    <w:p w:rsidR="00C42EFF" w:rsidRDefault="00C42EFF" w:rsidP="00DB5A25">
      <w:pPr>
        <w:spacing w:line="240" w:lineRule="auto"/>
      </w:pPr>
    </w:p>
    <w:sectPr w:rsidR="00C42EFF" w:rsidSect="00A556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1C" w:rsidRDefault="00AF041C" w:rsidP="006D358D">
      <w:pPr>
        <w:spacing w:after="0" w:line="240" w:lineRule="auto"/>
      </w:pPr>
      <w:r>
        <w:separator/>
      </w:r>
    </w:p>
  </w:endnote>
  <w:endnote w:type="continuationSeparator" w:id="0">
    <w:p w:rsidR="00AF041C" w:rsidRDefault="00AF041C" w:rsidP="006D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87521"/>
      <w:docPartObj>
        <w:docPartGallery w:val="Page Numbers (Bottom of Page)"/>
        <w:docPartUnique/>
      </w:docPartObj>
    </w:sdtPr>
    <w:sdtEndPr/>
    <w:sdtContent>
      <w:p w:rsidR="006D358D" w:rsidRDefault="006D358D" w:rsidP="006D358D">
        <w:pPr>
          <w:pStyle w:val="llb"/>
          <w:jc w:val="center"/>
        </w:pPr>
        <w:r>
          <w:fldChar w:fldCharType="begin"/>
        </w:r>
        <w:r>
          <w:instrText>PAGE   \* MERGEFORMAT</w:instrText>
        </w:r>
        <w:r>
          <w:fldChar w:fldCharType="separate"/>
        </w:r>
        <w:r w:rsidR="003D013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1C" w:rsidRDefault="00AF041C" w:rsidP="006D358D">
      <w:pPr>
        <w:spacing w:after="0" w:line="240" w:lineRule="auto"/>
      </w:pPr>
      <w:r>
        <w:separator/>
      </w:r>
    </w:p>
  </w:footnote>
  <w:footnote w:type="continuationSeparator" w:id="0">
    <w:p w:rsidR="00AF041C" w:rsidRDefault="00AF041C" w:rsidP="006D3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6826"/>
    <w:multiLevelType w:val="hybridMultilevel"/>
    <w:tmpl w:val="859E65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4A02201"/>
    <w:multiLevelType w:val="hybridMultilevel"/>
    <w:tmpl w:val="6C44E0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49046A83"/>
    <w:multiLevelType w:val="hybridMultilevel"/>
    <w:tmpl w:val="F66C13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05A41F2"/>
    <w:multiLevelType w:val="hybridMultilevel"/>
    <w:tmpl w:val="454AAA76"/>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B3"/>
    <w:rsid w:val="003D0139"/>
    <w:rsid w:val="0051584D"/>
    <w:rsid w:val="006D358D"/>
    <w:rsid w:val="007B1A5B"/>
    <w:rsid w:val="008B03B3"/>
    <w:rsid w:val="00AF041C"/>
    <w:rsid w:val="00C42EFF"/>
    <w:rsid w:val="00DB5A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4"/>
        <w:lang w:val="hu-H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03B3"/>
    <w:pPr>
      <w:spacing w:before="0" w:after="200" w:line="276" w:lineRule="auto"/>
    </w:pPr>
    <w:rPr>
      <w:rFonts w:ascii="Calibri" w:hAnsi="Calibri"/>
      <w:bCs w:val="0"/>
      <w:sz w:val="22"/>
      <w:szCs w:val="22"/>
    </w:rPr>
  </w:style>
  <w:style w:type="paragraph" w:styleId="Cmsor1">
    <w:name w:val="heading 1"/>
    <w:basedOn w:val="Norml"/>
    <w:next w:val="Norml"/>
    <w:link w:val="Cmsor1Char"/>
    <w:uiPriority w:val="9"/>
    <w:qFormat/>
    <w:rsid w:val="008B03B3"/>
    <w:pPr>
      <w:keepNext/>
      <w:keepLines/>
      <w:spacing w:before="480" w:after="0"/>
      <w:outlineLvl w:val="0"/>
    </w:pPr>
    <w:rPr>
      <w:rFonts w:ascii="Cambria" w:hAnsi="Cambria"/>
      <w:b/>
      <w:bCs/>
      <w:color w:val="21798E"/>
      <w:sz w:val="28"/>
      <w:szCs w:val="28"/>
    </w:rPr>
  </w:style>
  <w:style w:type="paragraph" w:styleId="Cmsor2">
    <w:name w:val="heading 2"/>
    <w:basedOn w:val="Norml"/>
    <w:next w:val="Norml"/>
    <w:link w:val="Cmsor2Char"/>
    <w:uiPriority w:val="9"/>
    <w:unhideWhenUsed/>
    <w:qFormat/>
    <w:rsid w:val="008B03B3"/>
    <w:pPr>
      <w:keepNext/>
      <w:keepLines/>
      <w:spacing w:before="200" w:after="0"/>
      <w:outlineLvl w:val="1"/>
    </w:pPr>
    <w:rPr>
      <w:rFonts w:ascii="Cambria" w:hAnsi="Cambria"/>
      <w:b/>
      <w:bCs/>
      <w:color w:val="2DA2BF"/>
      <w:sz w:val="26"/>
      <w:szCs w:val="26"/>
    </w:rPr>
  </w:style>
  <w:style w:type="paragraph" w:styleId="Cmsor3">
    <w:name w:val="heading 3"/>
    <w:basedOn w:val="Norml"/>
    <w:next w:val="Norml"/>
    <w:link w:val="Cmsor3Char"/>
    <w:uiPriority w:val="9"/>
    <w:unhideWhenUsed/>
    <w:qFormat/>
    <w:rsid w:val="008B03B3"/>
    <w:pPr>
      <w:keepNext/>
      <w:keepLines/>
      <w:spacing w:before="200" w:after="0"/>
      <w:outlineLvl w:val="2"/>
    </w:pPr>
    <w:rPr>
      <w:rFonts w:ascii="Cambria" w:hAnsi="Cambria"/>
      <w:b/>
      <w:bCs/>
      <w:color w:val="2DA2BF"/>
    </w:rPr>
  </w:style>
  <w:style w:type="paragraph" w:styleId="Cmsor4">
    <w:name w:val="heading 4"/>
    <w:basedOn w:val="Norml"/>
    <w:next w:val="Norml"/>
    <w:link w:val="Cmsor4Char"/>
    <w:uiPriority w:val="9"/>
    <w:unhideWhenUsed/>
    <w:qFormat/>
    <w:rsid w:val="008B03B3"/>
    <w:pPr>
      <w:keepNext/>
      <w:keepLines/>
      <w:spacing w:before="200" w:after="0"/>
      <w:outlineLvl w:val="3"/>
    </w:pPr>
    <w:rPr>
      <w:rFonts w:ascii="Cambria" w:hAnsi="Cambria"/>
      <w:b/>
      <w:bCs/>
      <w:i/>
      <w:iCs/>
      <w:color w:val="2DA2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B03B3"/>
    <w:rPr>
      <w:rFonts w:ascii="Cambria" w:hAnsi="Cambria"/>
      <w:b/>
      <w:color w:val="21798E"/>
      <w:sz w:val="28"/>
      <w:szCs w:val="28"/>
    </w:rPr>
  </w:style>
  <w:style w:type="character" w:customStyle="1" w:styleId="Cmsor2Char">
    <w:name w:val="Címsor 2 Char"/>
    <w:basedOn w:val="Bekezdsalapbettpusa"/>
    <w:link w:val="Cmsor2"/>
    <w:uiPriority w:val="9"/>
    <w:rsid w:val="008B03B3"/>
    <w:rPr>
      <w:rFonts w:ascii="Cambria" w:hAnsi="Cambria"/>
      <w:b/>
      <w:color w:val="2DA2BF"/>
      <w:sz w:val="26"/>
      <w:szCs w:val="26"/>
    </w:rPr>
  </w:style>
  <w:style w:type="character" w:customStyle="1" w:styleId="Cmsor3Char">
    <w:name w:val="Címsor 3 Char"/>
    <w:basedOn w:val="Bekezdsalapbettpusa"/>
    <w:link w:val="Cmsor3"/>
    <w:uiPriority w:val="9"/>
    <w:rsid w:val="008B03B3"/>
    <w:rPr>
      <w:rFonts w:ascii="Cambria" w:hAnsi="Cambria"/>
      <w:b/>
      <w:color w:val="2DA2BF"/>
      <w:sz w:val="22"/>
      <w:szCs w:val="22"/>
    </w:rPr>
  </w:style>
  <w:style w:type="character" w:customStyle="1" w:styleId="Cmsor4Char">
    <w:name w:val="Címsor 4 Char"/>
    <w:basedOn w:val="Bekezdsalapbettpusa"/>
    <w:link w:val="Cmsor4"/>
    <w:uiPriority w:val="9"/>
    <w:rsid w:val="008B03B3"/>
    <w:rPr>
      <w:rFonts w:ascii="Cambria" w:hAnsi="Cambria"/>
      <w:b/>
      <w:i/>
      <w:iCs/>
      <w:color w:val="2DA2BF"/>
      <w:sz w:val="22"/>
      <w:szCs w:val="22"/>
    </w:rPr>
  </w:style>
  <w:style w:type="paragraph" w:styleId="Listaszerbekezds">
    <w:name w:val="List Paragraph"/>
    <w:basedOn w:val="Norml"/>
    <w:uiPriority w:val="34"/>
    <w:qFormat/>
    <w:rsid w:val="008B03B3"/>
    <w:pPr>
      <w:ind w:left="720"/>
      <w:contextualSpacing/>
    </w:pPr>
  </w:style>
  <w:style w:type="paragraph" w:styleId="Kpalrs">
    <w:name w:val="caption"/>
    <w:basedOn w:val="Norml"/>
    <w:next w:val="Norml"/>
    <w:uiPriority w:val="35"/>
    <w:semiHidden/>
    <w:unhideWhenUsed/>
    <w:qFormat/>
    <w:rsid w:val="008B03B3"/>
    <w:pPr>
      <w:spacing w:line="240" w:lineRule="auto"/>
    </w:pPr>
    <w:rPr>
      <w:b/>
      <w:bCs/>
      <w:color w:val="2DA2BF"/>
      <w:sz w:val="18"/>
      <w:szCs w:val="18"/>
    </w:rPr>
  </w:style>
  <w:style w:type="paragraph" w:styleId="Buborkszveg">
    <w:name w:val="Balloon Text"/>
    <w:basedOn w:val="Norml"/>
    <w:link w:val="BuborkszvegChar"/>
    <w:uiPriority w:val="99"/>
    <w:semiHidden/>
    <w:unhideWhenUsed/>
    <w:rsid w:val="008B03B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03B3"/>
    <w:rPr>
      <w:rFonts w:ascii="Tahoma" w:hAnsi="Tahoma" w:cs="Tahoma"/>
      <w:bCs w:val="0"/>
      <w:sz w:val="16"/>
      <w:szCs w:val="16"/>
    </w:rPr>
  </w:style>
  <w:style w:type="paragraph" w:styleId="lfej">
    <w:name w:val="header"/>
    <w:basedOn w:val="Norml"/>
    <w:link w:val="lfejChar"/>
    <w:uiPriority w:val="99"/>
    <w:unhideWhenUsed/>
    <w:rsid w:val="006D358D"/>
    <w:pPr>
      <w:tabs>
        <w:tab w:val="center" w:pos="4536"/>
        <w:tab w:val="right" w:pos="9072"/>
      </w:tabs>
      <w:spacing w:after="0" w:line="240" w:lineRule="auto"/>
    </w:pPr>
  </w:style>
  <w:style w:type="character" w:customStyle="1" w:styleId="lfejChar">
    <w:name w:val="Élőfej Char"/>
    <w:basedOn w:val="Bekezdsalapbettpusa"/>
    <w:link w:val="lfej"/>
    <w:uiPriority w:val="99"/>
    <w:rsid w:val="006D358D"/>
    <w:rPr>
      <w:rFonts w:ascii="Calibri" w:hAnsi="Calibri"/>
      <w:bCs w:val="0"/>
      <w:sz w:val="22"/>
      <w:szCs w:val="22"/>
    </w:rPr>
  </w:style>
  <w:style w:type="paragraph" w:styleId="llb">
    <w:name w:val="footer"/>
    <w:basedOn w:val="Norml"/>
    <w:link w:val="llbChar"/>
    <w:uiPriority w:val="99"/>
    <w:unhideWhenUsed/>
    <w:rsid w:val="006D358D"/>
    <w:pPr>
      <w:tabs>
        <w:tab w:val="center" w:pos="4536"/>
        <w:tab w:val="right" w:pos="9072"/>
      </w:tabs>
      <w:spacing w:after="0" w:line="240" w:lineRule="auto"/>
    </w:pPr>
  </w:style>
  <w:style w:type="character" w:customStyle="1" w:styleId="llbChar">
    <w:name w:val="Élőláb Char"/>
    <w:basedOn w:val="Bekezdsalapbettpusa"/>
    <w:link w:val="llb"/>
    <w:uiPriority w:val="99"/>
    <w:rsid w:val="006D358D"/>
    <w:rPr>
      <w:rFonts w:ascii="Calibri" w:hAnsi="Calibri"/>
      <w:b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4"/>
        <w:lang w:val="hu-H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03B3"/>
    <w:pPr>
      <w:spacing w:before="0" w:after="200" w:line="276" w:lineRule="auto"/>
    </w:pPr>
    <w:rPr>
      <w:rFonts w:ascii="Calibri" w:hAnsi="Calibri"/>
      <w:bCs w:val="0"/>
      <w:sz w:val="22"/>
      <w:szCs w:val="22"/>
    </w:rPr>
  </w:style>
  <w:style w:type="paragraph" w:styleId="Cmsor1">
    <w:name w:val="heading 1"/>
    <w:basedOn w:val="Norml"/>
    <w:next w:val="Norml"/>
    <w:link w:val="Cmsor1Char"/>
    <w:uiPriority w:val="9"/>
    <w:qFormat/>
    <w:rsid w:val="008B03B3"/>
    <w:pPr>
      <w:keepNext/>
      <w:keepLines/>
      <w:spacing w:before="480" w:after="0"/>
      <w:outlineLvl w:val="0"/>
    </w:pPr>
    <w:rPr>
      <w:rFonts w:ascii="Cambria" w:hAnsi="Cambria"/>
      <w:b/>
      <w:bCs/>
      <w:color w:val="21798E"/>
      <w:sz w:val="28"/>
      <w:szCs w:val="28"/>
    </w:rPr>
  </w:style>
  <w:style w:type="paragraph" w:styleId="Cmsor2">
    <w:name w:val="heading 2"/>
    <w:basedOn w:val="Norml"/>
    <w:next w:val="Norml"/>
    <w:link w:val="Cmsor2Char"/>
    <w:uiPriority w:val="9"/>
    <w:unhideWhenUsed/>
    <w:qFormat/>
    <w:rsid w:val="008B03B3"/>
    <w:pPr>
      <w:keepNext/>
      <w:keepLines/>
      <w:spacing w:before="200" w:after="0"/>
      <w:outlineLvl w:val="1"/>
    </w:pPr>
    <w:rPr>
      <w:rFonts w:ascii="Cambria" w:hAnsi="Cambria"/>
      <w:b/>
      <w:bCs/>
      <w:color w:val="2DA2BF"/>
      <w:sz w:val="26"/>
      <w:szCs w:val="26"/>
    </w:rPr>
  </w:style>
  <w:style w:type="paragraph" w:styleId="Cmsor3">
    <w:name w:val="heading 3"/>
    <w:basedOn w:val="Norml"/>
    <w:next w:val="Norml"/>
    <w:link w:val="Cmsor3Char"/>
    <w:uiPriority w:val="9"/>
    <w:unhideWhenUsed/>
    <w:qFormat/>
    <w:rsid w:val="008B03B3"/>
    <w:pPr>
      <w:keepNext/>
      <w:keepLines/>
      <w:spacing w:before="200" w:after="0"/>
      <w:outlineLvl w:val="2"/>
    </w:pPr>
    <w:rPr>
      <w:rFonts w:ascii="Cambria" w:hAnsi="Cambria"/>
      <w:b/>
      <w:bCs/>
      <w:color w:val="2DA2BF"/>
    </w:rPr>
  </w:style>
  <w:style w:type="paragraph" w:styleId="Cmsor4">
    <w:name w:val="heading 4"/>
    <w:basedOn w:val="Norml"/>
    <w:next w:val="Norml"/>
    <w:link w:val="Cmsor4Char"/>
    <w:uiPriority w:val="9"/>
    <w:unhideWhenUsed/>
    <w:qFormat/>
    <w:rsid w:val="008B03B3"/>
    <w:pPr>
      <w:keepNext/>
      <w:keepLines/>
      <w:spacing w:before="200" w:after="0"/>
      <w:outlineLvl w:val="3"/>
    </w:pPr>
    <w:rPr>
      <w:rFonts w:ascii="Cambria" w:hAnsi="Cambria"/>
      <w:b/>
      <w:bCs/>
      <w:i/>
      <w:iCs/>
      <w:color w:val="2DA2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B03B3"/>
    <w:rPr>
      <w:rFonts w:ascii="Cambria" w:hAnsi="Cambria"/>
      <w:b/>
      <w:color w:val="21798E"/>
      <w:sz w:val="28"/>
      <w:szCs w:val="28"/>
    </w:rPr>
  </w:style>
  <w:style w:type="character" w:customStyle="1" w:styleId="Cmsor2Char">
    <w:name w:val="Címsor 2 Char"/>
    <w:basedOn w:val="Bekezdsalapbettpusa"/>
    <w:link w:val="Cmsor2"/>
    <w:uiPriority w:val="9"/>
    <w:rsid w:val="008B03B3"/>
    <w:rPr>
      <w:rFonts w:ascii="Cambria" w:hAnsi="Cambria"/>
      <w:b/>
      <w:color w:val="2DA2BF"/>
      <w:sz w:val="26"/>
      <w:szCs w:val="26"/>
    </w:rPr>
  </w:style>
  <w:style w:type="character" w:customStyle="1" w:styleId="Cmsor3Char">
    <w:name w:val="Címsor 3 Char"/>
    <w:basedOn w:val="Bekezdsalapbettpusa"/>
    <w:link w:val="Cmsor3"/>
    <w:uiPriority w:val="9"/>
    <w:rsid w:val="008B03B3"/>
    <w:rPr>
      <w:rFonts w:ascii="Cambria" w:hAnsi="Cambria"/>
      <w:b/>
      <w:color w:val="2DA2BF"/>
      <w:sz w:val="22"/>
      <w:szCs w:val="22"/>
    </w:rPr>
  </w:style>
  <w:style w:type="character" w:customStyle="1" w:styleId="Cmsor4Char">
    <w:name w:val="Címsor 4 Char"/>
    <w:basedOn w:val="Bekezdsalapbettpusa"/>
    <w:link w:val="Cmsor4"/>
    <w:uiPriority w:val="9"/>
    <w:rsid w:val="008B03B3"/>
    <w:rPr>
      <w:rFonts w:ascii="Cambria" w:hAnsi="Cambria"/>
      <w:b/>
      <w:i/>
      <w:iCs/>
      <w:color w:val="2DA2BF"/>
      <w:sz w:val="22"/>
      <w:szCs w:val="22"/>
    </w:rPr>
  </w:style>
  <w:style w:type="paragraph" w:styleId="Listaszerbekezds">
    <w:name w:val="List Paragraph"/>
    <w:basedOn w:val="Norml"/>
    <w:uiPriority w:val="34"/>
    <w:qFormat/>
    <w:rsid w:val="008B03B3"/>
    <w:pPr>
      <w:ind w:left="720"/>
      <w:contextualSpacing/>
    </w:pPr>
  </w:style>
  <w:style w:type="paragraph" w:styleId="Kpalrs">
    <w:name w:val="caption"/>
    <w:basedOn w:val="Norml"/>
    <w:next w:val="Norml"/>
    <w:uiPriority w:val="35"/>
    <w:semiHidden/>
    <w:unhideWhenUsed/>
    <w:qFormat/>
    <w:rsid w:val="008B03B3"/>
    <w:pPr>
      <w:spacing w:line="240" w:lineRule="auto"/>
    </w:pPr>
    <w:rPr>
      <w:b/>
      <w:bCs/>
      <w:color w:val="2DA2BF"/>
      <w:sz w:val="18"/>
      <w:szCs w:val="18"/>
    </w:rPr>
  </w:style>
  <w:style w:type="paragraph" w:styleId="Buborkszveg">
    <w:name w:val="Balloon Text"/>
    <w:basedOn w:val="Norml"/>
    <w:link w:val="BuborkszvegChar"/>
    <w:uiPriority w:val="99"/>
    <w:semiHidden/>
    <w:unhideWhenUsed/>
    <w:rsid w:val="008B03B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03B3"/>
    <w:rPr>
      <w:rFonts w:ascii="Tahoma" w:hAnsi="Tahoma" w:cs="Tahoma"/>
      <w:bCs w:val="0"/>
      <w:sz w:val="16"/>
      <w:szCs w:val="16"/>
    </w:rPr>
  </w:style>
  <w:style w:type="paragraph" w:styleId="lfej">
    <w:name w:val="header"/>
    <w:basedOn w:val="Norml"/>
    <w:link w:val="lfejChar"/>
    <w:uiPriority w:val="99"/>
    <w:unhideWhenUsed/>
    <w:rsid w:val="006D358D"/>
    <w:pPr>
      <w:tabs>
        <w:tab w:val="center" w:pos="4536"/>
        <w:tab w:val="right" w:pos="9072"/>
      </w:tabs>
      <w:spacing w:after="0" w:line="240" w:lineRule="auto"/>
    </w:pPr>
  </w:style>
  <w:style w:type="character" w:customStyle="1" w:styleId="lfejChar">
    <w:name w:val="Élőfej Char"/>
    <w:basedOn w:val="Bekezdsalapbettpusa"/>
    <w:link w:val="lfej"/>
    <w:uiPriority w:val="99"/>
    <w:rsid w:val="006D358D"/>
    <w:rPr>
      <w:rFonts w:ascii="Calibri" w:hAnsi="Calibri"/>
      <w:bCs w:val="0"/>
      <w:sz w:val="22"/>
      <w:szCs w:val="22"/>
    </w:rPr>
  </w:style>
  <w:style w:type="paragraph" w:styleId="llb">
    <w:name w:val="footer"/>
    <w:basedOn w:val="Norml"/>
    <w:link w:val="llbChar"/>
    <w:uiPriority w:val="99"/>
    <w:unhideWhenUsed/>
    <w:rsid w:val="006D358D"/>
    <w:pPr>
      <w:tabs>
        <w:tab w:val="center" w:pos="4536"/>
        <w:tab w:val="right" w:pos="9072"/>
      </w:tabs>
      <w:spacing w:after="0" w:line="240" w:lineRule="auto"/>
    </w:pPr>
  </w:style>
  <w:style w:type="character" w:customStyle="1" w:styleId="llbChar">
    <w:name w:val="Élőláb Char"/>
    <w:basedOn w:val="Bekezdsalapbettpusa"/>
    <w:link w:val="llb"/>
    <w:uiPriority w:val="99"/>
    <w:rsid w:val="006D358D"/>
    <w:rPr>
      <w:rFonts w:ascii="Calibri" w:hAnsi="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1228</Words>
  <Characters>8478</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Ásztai Márta</dc:creator>
  <cp:revision>2</cp:revision>
  <dcterms:created xsi:type="dcterms:W3CDTF">2015-03-30T16:31:00Z</dcterms:created>
  <dcterms:modified xsi:type="dcterms:W3CDTF">2015-03-30T16:31:00Z</dcterms:modified>
</cp:coreProperties>
</file>