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77" w:rsidRDefault="000C0877" w:rsidP="00EF1793">
      <w:pPr>
        <w:pStyle w:val="Cmsor2"/>
        <w:jc w:val="center"/>
      </w:pPr>
      <w:bookmarkStart w:id="0" w:name="_GoBack"/>
      <w:bookmarkEnd w:id="0"/>
      <w:r w:rsidRPr="000C0877">
        <w:t>Az OTH EKOP-1.</w:t>
      </w:r>
      <w:proofErr w:type="gramStart"/>
      <w:r w:rsidRPr="000C0877">
        <w:t>A</w:t>
      </w:r>
      <w:proofErr w:type="gramEnd"/>
      <w:r w:rsidRPr="000C0877">
        <w:t>.2</w:t>
      </w:r>
      <w:r w:rsidR="00DB406C">
        <w:t>-2012-2012-00014 p</w:t>
      </w:r>
      <w:r w:rsidRPr="000C0877">
        <w:t>rojekt jogszabályi keretének összefoglalása</w:t>
      </w:r>
    </w:p>
    <w:p w:rsidR="00A92A8A" w:rsidRPr="00A92A8A" w:rsidRDefault="00A92A8A" w:rsidP="00EF1793">
      <w:pPr>
        <w:jc w:val="both"/>
      </w:pPr>
    </w:p>
    <w:p w:rsidR="000C0877" w:rsidRDefault="00A92A8A" w:rsidP="00EF17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C0877" w:rsidRPr="000C0877">
        <w:rPr>
          <w:rFonts w:ascii="Times New Roman" w:hAnsi="Times New Roman" w:cs="Times New Roman"/>
          <w:sz w:val="24"/>
          <w:szCs w:val="24"/>
        </w:rPr>
        <w:t>Kémiai biztonsági szakrendszer kereteit meghatározó jogszabályok listája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A8A" w:rsidRDefault="00A92A8A" w:rsidP="00EF179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A8A">
        <w:rPr>
          <w:rFonts w:ascii="Times New Roman" w:hAnsi="Times New Roman" w:cs="Times New Roman"/>
          <w:sz w:val="20"/>
          <w:szCs w:val="20"/>
        </w:rPr>
        <w:t>2000. évi XXV. törvény a kémiai biztonságról</w:t>
      </w:r>
    </w:p>
    <w:p w:rsidR="00A92A8A" w:rsidRDefault="00A92A8A" w:rsidP="00EF179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A8A">
        <w:rPr>
          <w:rFonts w:ascii="Times New Roman" w:hAnsi="Times New Roman" w:cs="Times New Roman"/>
          <w:sz w:val="20"/>
          <w:szCs w:val="20"/>
        </w:rPr>
        <w:t>44/2000. (XII. 27.) EüM rendelet a veszélyes anyagokkal és a veszélyes készítményekkel kapcsolatos egyes eljárások, illetve tevékenységek részletes szabályairól</w:t>
      </w:r>
    </w:p>
    <w:p w:rsidR="00A92A8A" w:rsidRDefault="00A92A8A" w:rsidP="00EF179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A8A">
        <w:rPr>
          <w:rFonts w:ascii="Times New Roman" w:hAnsi="Times New Roman" w:cs="Times New Roman"/>
          <w:sz w:val="20"/>
          <w:szCs w:val="20"/>
        </w:rPr>
        <w:t xml:space="preserve">38/2003. (VII. 7.) </w:t>
      </w:r>
      <w:proofErr w:type="spellStart"/>
      <w:r w:rsidRPr="00A92A8A">
        <w:rPr>
          <w:rFonts w:ascii="Times New Roman" w:hAnsi="Times New Roman" w:cs="Times New Roman"/>
          <w:sz w:val="20"/>
          <w:szCs w:val="20"/>
        </w:rPr>
        <w:t>ESzCsM-FVM-KvVM</w:t>
      </w:r>
      <w:proofErr w:type="spellEnd"/>
      <w:r w:rsidRPr="00A92A8A">
        <w:rPr>
          <w:rFonts w:ascii="Times New Roman" w:hAnsi="Times New Roman" w:cs="Times New Roman"/>
          <w:sz w:val="20"/>
          <w:szCs w:val="20"/>
        </w:rPr>
        <w:t xml:space="preserve"> együttes rendelet a </w:t>
      </w:r>
      <w:proofErr w:type="spellStart"/>
      <w:r w:rsidRPr="00A92A8A">
        <w:rPr>
          <w:rFonts w:ascii="Times New Roman" w:hAnsi="Times New Roman" w:cs="Times New Roman"/>
          <w:sz w:val="20"/>
          <w:szCs w:val="20"/>
        </w:rPr>
        <w:t>biocid</w:t>
      </w:r>
      <w:proofErr w:type="spellEnd"/>
      <w:r w:rsidRPr="00A92A8A">
        <w:rPr>
          <w:rFonts w:ascii="Times New Roman" w:hAnsi="Times New Roman" w:cs="Times New Roman"/>
          <w:sz w:val="20"/>
          <w:szCs w:val="20"/>
        </w:rPr>
        <w:t xml:space="preserve"> termékek előállításának és forgalomba hozatalának feltételeiről</w:t>
      </w:r>
    </w:p>
    <w:p w:rsidR="00A92A8A" w:rsidRDefault="00A92A8A" w:rsidP="00EF179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A8A">
        <w:rPr>
          <w:rFonts w:ascii="Times New Roman" w:hAnsi="Times New Roman" w:cs="Times New Roman"/>
          <w:sz w:val="20"/>
          <w:szCs w:val="20"/>
        </w:rPr>
        <w:t xml:space="preserve">46/2004. (IV. 29.) </w:t>
      </w:r>
      <w:proofErr w:type="spellStart"/>
      <w:r w:rsidRPr="00A92A8A">
        <w:rPr>
          <w:rFonts w:ascii="Times New Roman" w:hAnsi="Times New Roman" w:cs="Times New Roman"/>
          <w:sz w:val="20"/>
          <w:szCs w:val="20"/>
        </w:rPr>
        <w:t>ESzCsM</w:t>
      </w:r>
      <w:proofErr w:type="spellEnd"/>
      <w:r w:rsidRPr="00A92A8A">
        <w:rPr>
          <w:rFonts w:ascii="Times New Roman" w:hAnsi="Times New Roman" w:cs="Times New Roman"/>
          <w:sz w:val="20"/>
          <w:szCs w:val="20"/>
        </w:rPr>
        <w:t xml:space="preserve"> rendelet a kémiai biztonsággal kapcsolatos nemzeti hatóság kijelöléséről, valamint a hatóság nemzetközi kapcsolattartásának rendjéről</w:t>
      </w:r>
    </w:p>
    <w:p w:rsidR="00A92A8A" w:rsidRDefault="00A92A8A" w:rsidP="00EF179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A8A">
        <w:rPr>
          <w:rFonts w:ascii="Times New Roman" w:hAnsi="Times New Roman" w:cs="Times New Roman"/>
          <w:sz w:val="20"/>
          <w:szCs w:val="20"/>
        </w:rPr>
        <w:t>123/2009. (VI. 12.) Korm. rendelet az egyes veszélyes anyagok és veszélyes készítmények kivitelével, illetve behozatalával összefüggő bejelentési eljárás részletes szabályairól</w:t>
      </w:r>
    </w:p>
    <w:p w:rsidR="00A92A8A" w:rsidRDefault="00A92A8A" w:rsidP="00EF179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A8A">
        <w:rPr>
          <w:rFonts w:ascii="Times New Roman" w:hAnsi="Times New Roman" w:cs="Times New Roman"/>
          <w:sz w:val="20"/>
          <w:szCs w:val="20"/>
        </w:rPr>
        <w:t xml:space="preserve">2/2010. (I. 26.) EüM rendelet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92A8A">
        <w:rPr>
          <w:rFonts w:ascii="Times New Roman" w:hAnsi="Times New Roman" w:cs="Times New Roman"/>
          <w:sz w:val="20"/>
          <w:szCs w:val="20"/>
        </w:rPr>
        <w:t>z egészségügyi kártevőirtó tevékenységről és az egészségügyi kártevőirtó tevékenység engedélyezésé</w:t>
      </w:r>
      <w:r>
        <w:rPr>
          <w:rFonts w:ascii="Times New Roman" w:hAnsi="Times New Roman" w:cs="Times New Roman"/>
          <w:sz w:val="20"/>
          <w:szCs w:val="20"/>
        </w:rPr>
        <w:t>nek részletes szabályairól</w:t>
      </w:r>
    </w:p>
    <w:p w:rsidR="00A92A8A" w:rsidRPr="00A92A8A" w:rsidRDefault="00A92A8A" w:rsidP="00EF179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A8A">
        <w:rPr>
          <w:rFonts w:ascii="Times New Roman" w:hAnsi="Times New Roman" w:cs="Times New Roman"/>
          <w:sz w:val="20"/>
          <w:szCs w:val="20"/>
        </w:rPr>
        <w:t xml:space="preserve">316/2013. (VIII. 28.) Korm. rendelet a </w:t>
      </w:r>
      <w:proofErr w:type="spellStart"/>
      <w:r w:rsidRPr="00A92A8A">
        <w:rPr>
          <w:rFonts w:ascii="Times New Roman" w:hAnsi="Times New Roman" w:cs="Times New Roman"/>
          <w:sz w:val="20"/>
          <w:szCs w:val="20"/>
        </w:rPr>
        <w:t>biocid</w:t>
      </w:r>
      <w:proofErr w:type="spellEnd"/>
      <w:r w:rsidRPr="00A92A8A">
        <w:rPr>
          <w:rFonts w:ascii="Times New Roman" w:hAnsi="Times New Roman" w:cs="Times New Roman"/>
          <w:sz w:val="20"/>
          <w:szCs w:val="20"/>
        </w:rPr>
        <w:t xml:space="preserve"> termékek engedélyezésének és forgalomba hozatalának egyes szabályairól</w:t>
      </w:r>
    </w:p>
    <w:p w:rsidR="004F7E54" w:rsidRPr="000C0877" w:rsidRDefault="00DB09CE" w:rsidP="000C0877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C0877">
        <w:rPr>
          <w:rFonts w:ascii="Times New Roman" w:hAnsi="Times New Roman" w:cs="Times New Roman"/>
          <w:b/>
          <w:u w:val="single"/>
        </w:rPr>
        <w:t>200</w:t>
      </w:r>
      <w:r w:rsidR="004F7E54" w:rsidRPr="000C0877">
        <w:rPr>
          <w:rFonts w:ascii="Times New Roman" w:hAnsi="Times New Roman" w:cs="Times New Roman"/>
          <w:b/>
          <w:u w:val="single"/>
        </w:rPr>
        <w:t xml:space="preserve">0. évi </w:t>
      </w:r>
      <w:r w:rsidR="004F7E54" w:rsidRPr="000C0877">
        <w:rPr>
          <w:rFonts w:ascii="Times New Roman" w:hAnsi="Times New Roman" w:cs="Times New Roman"/>
          <w:b/>
          <w:bCs/>
          <w:u w:val="single"/>
        </w:rPr>
        <w:t>XXV. törvény a kémiai biztonságról</w:t>
      </w:r>
    </w:p>
    <w:p w:rsidR="0097376C" w:rsidRPr="000C0877" w:rsidRDefault="0097376C" w:rsidP="000C087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C0877">
        <w:rPr>
          <w:rFonts w:ascii="Times New Roman" w:hAnsi="Times New Roman" w:cs="Times New Roman"/>
          <w:bCs/>
        </w:rPr>
        <w:t>A magyar jogrendben a vegyi anyagok forgalomba hozatalának szabályozása alapvetően a kémiai biztonságról szóló 2000. évi XXV. törvénnyel valósul meg, amit az egyes ágazatokra vonatkozó szabályozás egészít ki.</w:t>
      </w:r>
    </w:p>
    <w:p w:rsidR="00DB09CE" w:rsidRPr="000C0877" w:rsidRDefault="00DB09CE" w:rsidP="000C087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 VESZÉLYES ANYAGOK </w:t>
      </w:r>
      <w:proofErr w:type="gramStart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>ÉS</w:t>
      </w:r>
      <w:proofErr w:type="gramEnd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KEVERÉKEK BEJELENTÉSE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Bejelentés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6. § (1) A veszélyes anyagokat és a veszélyes keverékeket – a (2) bekezdésben foglaltak kivételével – Magyarország területén gyártó, forgalmazó az azokkal kapcsolatos gyártási, forgalomba hozatali tevékenység megkezdésével egyidejűleg, az egészségügyért felelős miniszter 34. § (4) bekezdés </w:t>
      </w:r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>a)</w:t>
      </w:r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 pontjában foglalt felhatalmazás alapján kiadott rendeletében foglaltak szerint, a biztonsági adatlap, vagy a biztonsági adatlap és a címketerv csatolásával köteles elektronikus úton bejelenteni az egészségügyi államigazgatási szervnek, ha a veszélyes anyag az 5. § (3) bekezdése szerinti magyarországi jegyzékben, illetve a veszélyes keverék a terméknyilvántartásban még nem szerepel. A bejelentő köteles az általa bejelentett veszélyes anyag és keverék biztonsági adatlapjának változását és a forgalmazás megszüntetését is elektronikus úton jelenteni.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Veszélyes anyag bejelentése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7. §  (3) A veszélyes anyag bejelentésével kapcsolatos valamennyi adatszolgáltatásért, az adatok hitelességéért a bejelentő a felelős. Az egészségügyi államigazgatási szerv a veszélyes anyag egészségügyi kockázataira vonatkozóan – a biztonsági adatlap jogszabályban meghatározott adatkörében – további adatszolgáltatásra hívhatja fel a bejelentőt.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(4) A bejelentés tudomásulvételét az egészségügyi államigazgatási szerv a formai és tartalmi követelményeknek megfelelő bejelentés beérkezésétől számított 15 napon belül elektronikus úton visszaigazolja. A bejelentett veszélyes anyagot az egészségügyi államigazgatási szerv felveszi az 5. § (3) bekezdése szerinti magyarországi jegyzékbe.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Veszélyes keverékek bejelentése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8. § (3) A veszélyes keverékek bejelentésével kapcsolatosan megkövetelt adatok hitelességéért a bejelentő a felelős. Az egészségügyi államigazgatási szerv a veszélyes keverék egészségügyi kockázataira vonatkozóan – a biztonsági adatlap jogszabályban meghatározott adatkörében – további adatszolgáltatásra hívhatja fel a bejelentőt.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lastRenderedPageBreak/>
        <w:t>(5) A bejelentés tudomásulvételét az egészségügyi államigazgatási szerv a formai és tartalmi követelményeknek megfelelő bejelentés beérkezésétől számított 15 napon belül elektronikus úton visszaigazolja. A bejelentett veszélyes keveréket az egészségügyi államigazgatási szerv felveszi a 23. § szerinti terméknyilvántartásba.</w:t>
      </w:r>
    </w:p>
    <w:p w:rsidR="00DB09CE" w:rsidRPr="000C0877" w:rsidRDefault="00DB09CE" w:rsidP="000C0877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C0877">
        <w:rPr>
          <w:rFonts w:ascii="Times New Roman" w:hAnsi="Times New Roman" w:cs="Times New Roman"/>
          <w:b/>
          <w:bCs/>
          <w:u w:val="single"/>
        </w:rPr>
        <w:t>44/2000. (XII. 27.) EüM rendelet a veszélyes anyagokkal és a veszélyes készítményekkel kapcsolatos egyes eljárások, illetve tevékenységek részletes szabályairól</w:t>
      </w:r>
    </w:p>
    <w:p w:rsidR="004F7E54" w:rsidRPr="000C0877" w:rsidRDefault="004F7E54" w:rsidP="000C0877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0C0877">
        <w:rPr>
          <w:rStyle w:val="Kiemels2"/>
          <w:rFonts w:ascii="Times New Roman" w:hAnsi="Times New Roman" w:cs="Times New Roman"/>
          <w:b w:val="0"/>
          <w:i/>
          <w:color w:val="333333"/>
          <w:sz w:val="20"/>
          <w:szCs w:val="20"/>
        </w:rPr>
        <w:t>3. §</w:t>
      </w:r>
      <w:r w:rsidRPr="000C0877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(1) Veszélyes anyag bejelentéséhez a magyar nyelvű biztonsági adatlapot, címketervet, illetve veszélyes keverék bejelentéséhez a magyar nyelvű biztonsági adatlapot elektronikus úton az OTH Szakrendszeri Információs Rendszer által biztosított módon kell az Országos Kémiai Biztonsági Intézetnek (a továbbiakban: OKBI) megküldeni. A veszélyes anyagok és keverékek bejelentéséhez szükséges tartalmi követelményeket az 5. számú melléklet tartalmazza.</w:t>
      </w:r>
    </w:p>
    <w:p w:rsidR="00032080" w:rsidRPr="000C0877" w:rsidRDefault="00032080" w:rsidP="000C0877">
      <w:pPr>
        <w:spacing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0C0877">
        <w:rPr>
          <w:rFonts w:ascii="Times New Roman" w:hAnsi="Times New Roman" w:cs="Times New Roman"/>
          <w:color w:val="333333"/>
          <w:sz w:val="20"/>
          <w:szCs w:val="20"/>
        </w:rPr>
        <w:t>Mérgezési esetek bejelentése: 12. számú melléklet a 44/2000. (XII. 27.) EüM rendelethez</w:t>
      </w:r>
    </w:p>
    <w:p w:rsidR="0097376C" w:rsidRPr="000C0877" w:rsidRDefault="0097376C" w:rsidP="000C0877">
      <w:pPr>
        <w:spacing w:line="240" w:lineRule="auto"/>
        <w:jc w:val="both"/>
        <w:rPr>
          <w:rFonts w:ascii="Times New Roman" w:hAnsi="Times New Roman" w:cs="Times New Roman"/>
          <w:i/>
          <w:color w:val="333333"/>
        </w:rPr>
      </w:pPr>
    </w:p>
    <w:p w:rsidR="0097376C" w:rsidRPr="000C0877" w:rsidRDefault="0097376C" w:rsidP="000C0877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C0877">
        <w:rPr>
          <w:rFonts w:ascii="Times New Roman" w:hAnsi="Times New Roman" w:cs="Times New Roman"/>
          <w:b/>
          <w:bCs/>
          <w:u w:val="single"/>
        </w:rPr>
        <w:t xml:space="preserve">38/2003. (VII. 7.) </w:t>
      </w:r>
      <w:proofErr w:type="spellStart"/>
      <w:r w:rsidRPr="000C0877">
        <w:rPr>
          <w:rFonts w:ascii="Times New Roman" w:hAnsi="Times New Roman" w:cs="Times New Roman"/>
          <w:b/>
          <w:bCs/>
          <w:u w:val="single"/>
        </w:rPr>
        <w:t>ESzCsM-FVM-KvVM</w:t>
      </w:r>
      <w:proofErr w:type="spellEnd"/>
      <w:r w:rsidRPr="000C0877">
        <w:rPr>
          <w:rFonts w:ascii="Times New Roman" w:hAnsi="Times New Roman" w:cs="Times New Roman"/>
          <w:b/>
          <w:bCs/>
          <w:u w:val="single"/>
        </w:rPr>
        <w:t xml:space="preserve"> együttes rendelet a </w:t>
      </w:r>
      <w:proofErr w:type="spellStart"/>
      <w:r w:rsidRPr="000C0877">
        <w:rPr>
          <w:rFonts w:ascii="Times New Roman" w:hAnsi="Times New Roman" w:cs="Times New Roman"/>
          <w:b/>
          <w:bCs/>
          <w:u w:val="single"/>
        </w:rPr>
        <w:t>biocid</w:t>
      </w:r>
      <w:proofErr w:type="spellEnd"/>
      <w:r w:rsidRPr="000C0877">
        <w:rPr>
          <w:rFonts w:ascii="Times New Roman" w:hAnsi="Times New Roman" w:cs="Times New Roman"/>
          <w:b/>
          <w:bCs/>
          <w:u w:val="single"/>
        </w:rPr>
        <w:t xml:space="preserve"> termékek előállításának és forgalomba hozatalának feltételeiről</w:t>
      </w:r>
    </w:p>
    <w:p w:rsidR="001A0690" w:rsidRPr="000C0877" w:rsidRDefault="001A0690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>Biocid</w:t>
      </w:r>
      <w:proofErr w:type="spellEnd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termék engedélyezésének szabályai</w:t>
      </w:r>
    </w:p>
    <w:p w:rsidR="001A0690" w:rsidRPr="000C0877" w:rsidRDefault="001A0690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3. § A </w:t>
      </w:r>
      <w:proofErr w:type="spellStart"/>
      <w:r w:rsidRPr="000C0877">
        <w:rPr>
          <w:rFonts w:ascii="Times New Roman" w:hAnsi="Times New Roman" w:cs="Times New Roman"/>
          <w:bCs/>
          <w:i/>
          <w:sz w:val="20"/>
          <w:szCs w:val="20"/>
        </w:rPr>
        <w:t>biocid</w:t>
      </w:r>
      <w:proofErr w:type="spellEnd"/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 termék - jogszabály eltérő rendelkezése hiányában - az Országos </w:t>
      </w:r>
      <w:proofErr w:type="spellStart"/>
      <w:r w:rsidRPr="000C0877">
        <w:rPr>
          <w:rFonts w:ascii="Times New Roman" w:hAnsi="Times New Roman" w:cs="Times New Roman"/>
          <w:bCs/>
          <w:i/>
          <w:sz w:val="20"/>
          <w:szCs w:val="20"/>
        </w:rPr>
        <w:t>Tisztifőorvosi</w:t>
      </w:r>
      <w:proofErr w:type="spellEnd"/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 Hivatal (a továbbiakban: OTH) által kiadott engedély alapján hozható forgalomba és használható fel.</w:t>
      </w:r>
    </w:p>
    <w:p w:rsidR="004F7E54" w:rsidRPr="000C0877" w:rsidRDefault="001A0690" w:rsidP="000C0877">
      <w:pPr>
        <w:spacing w:line="240" w:lineRule="auto"/>
        <w:jc w:val="both"/>
        <w:rPr>
          <w:rFonts w:ascii="Times New Roman" w:hAnsi="Times New Roman" w:cs="Times New Roman"/>
        </w:rPr>
      </w:pPr>
      <w:r w:rsidRPr="000C0877">
        <w:rPr>
          <w:rStyle w:val="Kiemels2"/>
          <w:rFonts w:ascii="Times New Roman" w:hAnsi="Times New Roman" w:cs="Times New Roman"/>
          <w:b w:val="0"/>
        </w:rPr>
        <w:t>„</w:t>
      </w:r>
      <w:proofErr w:type="spellStart"/>
      <w:r w:rsidR="0097376C" w:rsidRPr="000C0877">
        <w:rPr>
          <w:rStyle w:val="Kiemels2"/>
          <w:rFonts w:ascii="Times New Roman" w:hAnsi="Times New Roman" w:cs="Times New Roman"/>
          <w:b w:val="0"/>
        </w:rPr>
        <w:t>Biocid</w:t>
      </w:r>
      <w:proofErr w:type="spellEnd"/>
      <w:r w:rsidR="0097376C" w:rsidRPr="000C0877">
        <w:rPr>
          <w:rStyle w:val="Kiemels2"/>
          <w:rFonts w:ascii="Times New Roman" w:hAnsi="Times New Roman" w:cs="Times New Roman"/>
          <w:b w:val="0"/>
        </w:rPr>
        <w:t xml:space="preserve"> termék fogalma</w:t>
      </w:r>
      <w:r w:rsidR="0097376C" w:rsidRPr="000C0877">
        <w:rPr>
          <w:rFonts w:ascii="Times New Roman" w:hAnsi="Times New Roman" w:cs="Times New Roman"/>
        </w:rPr>
        <w:t xml:space="preserve"> az együttes rendelet  szerint: hatóanyag, illetve egy vagy több hatóanyagot tartalmazó készítmény, a felhasználóknak szánt kiszerelési formákban, melynek az a célja, hogy valamely kártékony biológiai szervezetet kémiai vagy biológiai eszközökkel elpusztítson, elriasszon, ártalmatlanítson, károkozásában akadályozzon, illetőleg valamilyen más módon korlátozó hatást gyakoroljon rá, és besorolható az 5. számú melléklet (</w:t>
      </w:r>
      <w:proofErr w:type="spellStart"/>
      <w:r w:rsidR="0097376C" w:rsidRPr="000C0877">
        <w:rPr>
          <w:rFonts w:ascii="Times New Roman" w:hAnsi="Times New Roman" w:cs="Times New Roman"/>
        </w:rPr>
        <w:t>biocid</w:t>
      </w:r>
      <w:proofErr w:type="spellEnd"/>
      <w:r w:rsidR="0097376C" w:rsidRPr="000C0877">
        <w:rPr>
          <w:rFonts w:ascii="Times New Roman" w:hAnsi="Times New Roman" w:cs="Times New Roman"/>
        </w:rPr>
        <w:t xml:space="preserve"> terméktípusok és leírásaik) szerinti valame</w:t>
      </w:r>
      <w:r w:rsidR="00FD7A4F" w:rsidRPr="000C0877">
        <w:rPr>
          <w:rFonts w:ascii="Times New Roman" w:hAnsi="Times New Roman" w:cs="Times New Roman"/>
        </w:rPr>
        <w:t xml:space="preserve">ly terméktípusba. </w:t>
      </w:r>
      <w:r w:rsidR="0097376C" w:rsidRPr="000C0877">
        <w:rPr>
          <w:rFonts w:ascii="Times New Roman" w:hAnsi="Times New Roman" w:cs="Times New Roman"/>
        </w:rPr>
        <w:t xml:space="preserve">A rendelet kimondja, hogy (bizonyos kivételek meghatározása mellett) </w:t>
      </w:r>
      <w:proofErr w:type="spellStart"/>
      <w:r w:rsidR="0097376C" w:rsidRPr="000C0877">
        <w:rPr>
          <w:rFonts w:ascii="Times New Roman" w:hAnsi="Times New Roman" w:cs="Times New Roman"/>
        </w:rPr>
        <w:t>biocid</w:t>
      </w:r>
      <w:proofErr w:type="spellEnd"/>
      <w:r w:rsidR="0097376C" w:rsidRPr="000C0877">
        <w:rPr>
          <w:rFonts w:ascii="Times New Roman" w:hAnsi="Times New Roman" w:cs="Times New Roman"/>
        </w:rPr>
        <w:t xml:space="preserve"> termék hatóanyagaként kizárólag olyan anyag hozható forgalomba, amely szerepel a hatóanyagoknak vagy a kis kockázattal járó </w:t>
      </w:r>
      <w:proofErr w:type="spellStart"/>
      <w:r w:rsidR="0097376C" w:rsidRPr="000C0877">
        <w:rPr>
          <w:rFonts w:ascii="Times New Roman" w:hAnsi="Times New Roman" w:cs="Times New Roman"/>
        </w:rPr>
        <w:t>biocid</w:t>
      </w:r>
      <w:proofErr w:type="spellEnd"/>
      <w:r w:rsidR="0097376C" w:rsidRPr="000C0877">
        <w:rPr>
          <w:rFonts w:ascii="Times New Roman" w:hAnsi="Times New Roman" w:cs="Times New Roman"/>
        </w:rPr>
        <w:t xml:space="preserve"> termék hatóanyagainak az Európai Unió által nyilvántartott közösségi jegyzékében.</w:t>
      </w:r>
    </w:p>
    <w:p w:rsidR="0097376C" w:rsidRPr="000C0877" w:rsidRDefault="0097376C" w:rsidP="000C087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C0877">
        <w:rPr>
          <w:rFonts w:ascii="Times New Roman" w:hAnsi="Times New Roman" w:cs="Times New Roman"/>
          <w:bCs/>
        </w:rPr>
        <w:t xml:space="preserve">Hatóanyag közösségi jegyzékbe történő felvételét, a hatóanyagot a Magyarország területén első ízben gyártó vagy forgalmazó kérelmére az illetékes koordináló intézet, az Országos </w:t>
      </w:r>
      <w:proofErr w:type="spellStart"/>
      <w:r w:rsidRPr="000C0877">
        <w:rPr>
          <w:rFonts w:ascii="Times New Roman" w:hAnsi="Times New Roman" w:cs="Times New Roman"/>
          <w:bCs/>
        </w:rPr>
        <w:t>Tisztifőorvosi</w:t>
      </w:r>
      <w:proofErr w:type="spellEnd"/>
      <w:r w:rsidRPr="000C0877">
        <w:rPr>
          <w:rFonts w:ascii="Times New Roman" w:hAnsi="Times New Roman" w:cs="Times New Roman"/>
          <w:bCs/>
        </w:rPr>
        <w:t xml:space="preserve"> Hivatal (OTH) kezdeményezi. Az engedélyezett, illetve regisztrált </w:t>
      </w:r>
      <w:proofErr w:type="spellStart"/>
      <w:r w:rsidRPr="000C0877">
        <w:rPr>
          <w:rFonts w:ascii="Times New Roman" w:hAnsi="Times New Roman" w:cs="Times New Roman"/>
          <w:bCs/>
        </w:rPr>
        <w:t>biocid</w:t>
      </w:r>
      <w:proofErr w:type="spellEnd"/>
      <w:r w:rsidRPr="000C0877">
        <w:rPr>
          <w:rFonts w:ascii="Times New Roman" w:hAnsi="Times New Roman" w:cs="Times New Roman"/>
          <w:bCs/>
        </w:rPr>
        <w:t xml:space="preserve"> termékek gyártói és importálói minden év március első napjáig az előző naptári év belföldi forgalmára vonatkozó jelentést készítenek az Országos Kémiai Biztonsági Intézet (OKBI) részére.</w:t>
      </w:r>
    </w:p>
    <w:p w:rsidR="001A0690" w:rsidRPr="000C0877" w:rsidRDefault="0097376C" w:rsidP="000C087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C0877">
        <w:rPr>
          <w:rFonts w:ascii="Times New Roman" w:hAnsi="Times New Roman" w:cs="Times New Roman"/>
          <w:bCs/>
        </w:rPr>
        <w:t xml:space="preserve">Fontos megemlíteni, hogy a 38/2003. (VII.7.) </w:t>
      </w:r>
      <w:proofErr w:type="spellStart"/>
      <w:r w:rsidRPr="000C0877">
        <w:rPr>
          <w:rFonts w:ascii="Times New Roman" w:hAnsi="Times New Roman" w:cs="Times New Roman"/>
          <w:bCs/>
        </w:rPr>
        <w:t>ESzCsM-FVM-KvVM</w:t>
      </w:r>
      <w:proofErr w:type="spellEnd"/>
      <w:r w:rsidRPr="000C0877">
        <w:rPr>
          <w:rFonts w:ascii="Times New Roman" w:hAnsi="Times New Roman" w:cs="Times New Roman"/>
          <w:bCs/>
        </w:rPr>
        <w:t xml:space="preserve"> együttes rendelet jelenleg két engedélyezési eljárást fogalmaz meg. A rendelet 3. §</w:t>
      </w:r>
      <w:proofErr w:type="spellStart"/>
      <w:r w:rsidRPr="000C0877">
        <w:rPr>
          <w:rFonts w:ascii="Times New Roman" w:hAnsi="Times New Roman" w:cs="Times New Roman"/>
          <w:bCs/>
        </w:rPr>
        <w:t>-a</w:t>
      </w:r>
      <w:proofErr w:type="spellEnd"/>
      <w:r w:rsidRPr="000C0877">
        <w:rPr>
          <w:rFonts w:ascii="Times New Roman" w:hAnsi="Times New Roman" w:cs="Times New Roman"/>
          <w:bCs/>
        </w:rPr>
        <w:t xml:space="preserve"> szerinti közösségi engedélyezési eljárás a Közösségi Jegyzék hatóanyagait alapul véve már elkezdődött, azonban a rendelet 30-31. §</w:t>
      </w:r>
      <w:proofErr w:type="spellStart"/>
      <w:r w:rsidRPr="000C0877">
        <w:rPr>
          <w:rFonts w:ascii="Times New Roman" w:hAnsi="Times New Roman" w:cs="Times New Roman"/>
          <w:bCs/>
        </w:rPr>
        <w:t>-ai</w:t>
      </w:r>
      <w:proofErr w:type="spellEnd"/>
      <w:r w:rsidRPr="000C0877">
        <w:rPr>
          <w:rFonts w:ascii="Times New Roman" w:hAnsi="Times New Roman" w:cs="Times New Roman"/>
          <w:bCs/>
        </w:rPr>
        <w:t xml:space="preserve"> bizonyos nemzeti szabályozást fenntartó rendelkezéseket is tartalmaz. Ez az átmeneti időszak, mely során a felülfertőtlenítők, </w:t>
      </w:r>
      <w:proofErr w:type="spellStart"/>
      <w:r w:rsidRPr="000C0877">
        <w:rPr>
          <w:rFonts w:ascii="Times New Roman" w:hAnsi="Times New Roman" w:cs="Times New Roman"/>
          <w:bCs/>
        </w:rPr>
        <w:t>rágcsálóírtók</w:t>
      </w:r>
      <w:proofErr w:type="spellEnd"/>
      <w:r w:rsidRPr="000C0877">
        <w:rPr>
          <w:rFonts w:ascii="Times New Roman" w:hAnsi="Times New Roman" w:cs="Times New Roman"/>
          <w:bCs/>
        </w:rPr>
        <w:t xml:space="preserve">, rovarölő szerek és vízfertőtlenítő termékek nemzeti szintű szabályozás, engedélyezés </w:t>
      </w:r>
      <w:proofErr w:type="spellStart"/>
      <w:r w:rsidRPr="000C0877">
        <w:rPr>
          <w:rFonts w:ascii="Times New Roman" w:hAnsi="Times New Roman" w:cs="Times New Roman"/>
          <w:bCs/>
        </w:rPr>
        <w:t>kötelezttsége</w:t>
      </w:r>
      <w:proofErr w:type="spellEnd"/>
      <w:r w:rsidRPr="000C0877">
        <w:rPr>
          <w:rFonts w:ascii="Times New Roman" w:hAnsi="Times New Roman" w:cs="Times New Roman"/>
          <w:bCs/>
        </w:rPr>
        <w:t xml:space="preserve"> alá esnek.</w:t>
      </w:r>
      <w:r w:rsidR="001A0690" w:rsidRPr="000C0877">
        <w:rPr>
          <w:rFonts w:ascii="Times New Roman" w:hAnsi="Times New Roman" w:cs="Times New Roman"/>
          <w:bCs/>
        </w:rPr>
        <w:t>”</w:t>
      </w:r>
    </w:p>
    <w:p w:rsidR="0097376C" w:rsidRPr="000C0877" w:rsidRDefault="001A0690" w:rsidP="000C0877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C0877">
        <w:rPr>
          <w:rFonts w:ascii="Times New Roman" w:hAnsi="Times New Roman" w:cs="Times New Roman"/>
          <w:bCs/>
        </w:rPr>
        <w:t>(Forrás:</w:t>
      </w:r>
      <w:r w:rsidRPr="000C0877">
        <w:rPr>
          <w:rFonts w:ascii="Times New Roman" w:hAnsi="Times New Roman" w:cs="Times New Roman"/>
        </w:rPr>
        <w:t xml:space="preserve"> </w:t>
      </w:r>
      <w:hyperlink r:id="rId6" w:history="1">
        <w:r w:rsidRPr="000C0877">
          <w:rPr>
            <w:rStyle w:val="Hiperhivatkozs"/>
            <w:rFonts w:ascii="Times New Roman" w:hAnsi="Times New Roman" w:cs="Times New Roman"/>
            <w:bCs/>
          </w:rPr>
          <w:t>http://vegyianyag.kormany.hu/biocidok</w:t>
        </w:r>
      </w:hyperlink>
      <w:r w:rsidRPr="000C0877">
        <w:rPr>
          <w:rFonts w:ascii="Times New Roman" w:hAnsi="Times New Roman" w:cs="Times New Roman"/>
          <w:bCs/>
        </w:rPr>
        <w:t>)</w:t>
      </w:r>
    </w:p>
    <w:p w:rsidR="00FD7A4F" w:rsidRPr="000C0877" w:rsidRDefault="00FD7A4F" w:rsidP="000C0877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FD7A4F" w:rsidRPr="000C0877" w:rsidRDefault="00FD7A4F" w:rsidP="000C0877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C0877">
        <w:rPr>
          <w:rFonts w:ascii="Times New Roman" w:hAnsi="Times New Roman" w:cs="Times New Roman"/>
          <w:b/>
          <w:bCs/>
          <w:u w:val="single"/>
        </w:rPr>
        <w:t xml:space="preserve">46/2004. (IV. 29.) </w:t>
      </w:r>
      <w:proofErr w:type="spellStart"/>
      <w:r w:rsidRPr="000C0877">
        <w:rPr>
          <w:rFonts w:ascii="Times New Roman" w:hAnsi="Times New Roman" w:cs="Times New Roman"/>
          <w:b/>
          <w:bCs/>
          <w:u w:val="single"/>
        </w:rPr>
        <w:t>ESzCsM</w:t>
      </w:r>
      <w:proofErr w:type="spellEnd"/>
      <w:r w:rsidRPr="000C0877">
        <w:rPr>
          <w:rFonts w:ascii="Times New Roman" w:hAnsi="Times New Roman" w:cs="Times New Roman"/>
          <w:b/>
          <w:bCs/>
          <w:u w:val="single"/>
        </w:rPr>
        <w:t xml:space="preserve"> rendelet a kémiai biztonsággal kapcsolatos nemzeti hatóság kijelöléséről, valamint a hatóság nemzetközi kapcsolattartásának rendjéről</w:t>
      </w:r>
    </w:p>
    <w:p w:rsidR="00FD7A4F" w:rsidRPr="000C0877" w:rsidRDefault="00FD7A4F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1. § (1)  Az embert és a környezetet veszélyeztető, külön jogszabály szerint veszélyesnek minősülő anyagok és keverékek, illetőleg az ezekkel folytatott tevékenységek bejelentésével, nyilvántartásával, jegyzékbe vételével </w:t>
      </w:r>
      <w:r w:rsidRPr="000C0877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kapcsolatban az európai közösségi jog szabályai alapján a magyarországi illetékes (kompetens) nemzeti hatóságra (a továbbiakban: Nemzeti Hatóság) háruló, </w:t>
      </w:r>
    </w:p>
    <w:p w:rsidR="00FD7A4F" w:rsidRPr="000C0877" w:rsidRDefault="00FD7A4F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>a</w:t>
      </w:r>
      <w:proofErr w:type="gramEnd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) </w:t>
      </w:r>
      <w:proofErr w:type="spellStart"/>
      <w:r w:rsidRPr="000C0877">
        <w:rPr>
          <w:rFonts w:ascii="Times New Roman" w:hAnsi="Times New Roman" w:cs="Times New Roman"/>
          <w:bCs/>
          <w:i/>
          <w:sz w:val="20"/>
          <w:szCs w:val="20"/>
        </w:rPr>
        <w:t>a</w:t>
      </w:r>
      <w:proofErr w:type="spellEnd"/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 bejelentések, a nyilvántartások, a jegyzékbe vétel és a törzskönyvezés európai közösségi jogszabályokkal való összhangjára irányuló,</w:t>
      </w:r>
    </w:p>
    <w:p w:rsidR="00FD7A4F" w:rsidRPr="000C0877" w:rsidRDefault="00FD7A4F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b) </w:t>
      </w:r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a </w:t>
      </w:r>
      <w:proofErr w:type="spellStart"/>
      <w:r w:rsidRPr="000C0877">
        <w:rPr>
          <w:rFonts w:ascii="Times New Roman" w:hAnsi="Times New Roman" w:cs="Times New Roman"/>
          <w:bCs/>
          <w:i/>
          <w:sz w:val="20"/>
          <w:szCs w:val="20"/>
        </w:rPr>
        <w:t>Kbtv</w:t>
      </w:r>
      <w:proofErr w:type="spellEnd"/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. 1. § (2) bekezdése szerinti tagállamok (a továbbiakban: tagállamok) és az Európai Bizottság, illetve annak illetékes szerve (a továbbiakban együtt: Bizottság) közötti információcserével, </w:t>
      </w:r>
      <w:proofErr w:type="spellStart"/>
      <w:r w:rsidRPr="000C0877">
        <w:rPr>
          <w:rFonts w:ascii="Times New Roman" w:hAnsi="Times New Roman" w:cs="Times New Roman"/>
          <w:bCs/>
          <w:i/>
          <w:sz w:val="20"/>
          <w:szCs w:val="20"/>
        </w:rPr>
        <w:t>-átadással</w:t>
      </w:r>
      <w:proofErr w:type="spellEnd"/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 és a kapcsolattartás biztosításával összefüggő</w:t>
      </w:r>
    </w:p>
    <w:p w:rsidR="00FD7A4F" w:rsidRPr="000C0877" w:rsidRDefault="00FD7A4F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0C0877">
        <w:rPr>
          <w:rFonts w:ascii="Times New Roman" w:hAnsi="Times New Roman" w:cs="Times New Roman"/>
          <w:bCs/>
          <w:i/>
          <w:sz w:val="20"/>
          <w:szCs w:val="20"/>
        </w:rPr>
        <w:t>feladatokat</w:t>
      </w:r>
      <w:proofErr w:type="gramEnd"/>
      <w:r w:rsidRPr="000C0877">
        <w:rPr>
          <w:rFonts w:ascii="Times New Roman" w:hAnsi="Times New Roman" w:cs="Times New Roman"/>
          <w:bCs/>
          <w:i/>
          <w:sz w:val="20"/>
          <w:szCs w:val="20"/>
        </w:rPr>
        <w:t xml:space="preserve"> az Országos Közegészségügyi Központ (a továbbiakban: OKK) látja el.</w:t>
      </w:r>
    </w:p>
    <w:p w:rsidR="0097376C" w:rsidRPr="000C0877" w:rsidRDefault="0097376C" w:rsidP="000C0877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4F7E54" w:rsidRPr="000C0877" w:rsidRDefault="0097376C" w:rsidP="000C087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C0877">
        <w:rPr>
          <w:rFonts w:ascii="Times New Roman" w:hAnsi="Times New Roman" w:cs="Times New Roman"/>
          <w:b/>
          <w:u w:val="single"/>
        </w:rPr>
        <w:t>123/2009. (VI. 12.) Korm. rendelet az egyes veszélyes anyagok és veszélyes készítmények kivitelével, illetve behozatalával összefüggő bejelentési eljárás részletes szabályairól</w:t>
      </w:r>
    </w:p>
    <w:p w:rsidR="00CA15EC" w:rsidRPr="000C0877" w:rsidRDefault="00CA15EC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2. §</w:t>
      </w:r>
      <w:r w:rsidRPr="000C08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C0877">
        <w:rPr>
          <w:rFonts w:ascii="Times New Roman" w:hAnsi="Times New Roman" w:cs="Times New Roman"/>
          <w:bCs/>
          <w:i/>
          <w:sz w:val="20"/>
          <w:szCs w:val="20"/>
        </w:rPr>
        <w:t>(1) A (2) bekezdésben foglalt eltérésekkel a 649/2012/EU rendeletben előírt igazgatási feladatok végrehajtására a Kormány nemzeti hatóságként</w:t>
      </w:r>
    </w:p>
    <w:p w:rsidR="00CA15EC" w:rsidRPr="000C0877" w:rsidRDefault="00CA15EC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>a</w:t>
      </w:r>
      <w:proofErr w:type="gramEnd"/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) </w:t>
      </w:r>
      <w:r w:rsidRPr="000C0877">
        <w:rPr>
          <w:rFonts w:ascii="Times New Roman" w:hAnsi="Times New Roman" w:cs="Times New Roman"/>
          <w:bCs/>
          <w:i/>
          <w:sz w:val="20"/>
          <w:szCs w:val="20"/>
        </w:rPr>
        <w:t>a növényvédő szerek és termésnövelő anyagok esetében a Nemzeti Élelmiszerlánc-biztonsági Hivatalt, növény- és talajvédelmi jogkörében,</w:t>
      </w:r>
    </w:p>
    <w:p w:rsidR="00CA15EC" w:rsidRPr="000C0877" w:rsidRDefault="00CA15EC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b) </w:t>
      </w:r>
      <w:r w:rsidRPr="000C0877">
        <w:rPr>
          <w:rFonts w:ascii="Times New Roman" w:hAnsi="Times New Roman" w:cs="Times New Roman"/>
          <w:bCs/>
          <w:i/>
          <w:sz w:val="20"/>
          <w:szCs w:val="20"/>
        </w:rPr>
        <w:t>az ipari vegyi anyagok és készítmények esetében az Országos Közegészségügyi Központot (a továbbiakban: OKK) jelöli ki.</w:t>
      </w:r>
    </w:p>
    <w:p w:rsidR="00CA15EC" w:rsidRPr="000C0877" w:rsidRDefault="00CA15EC" w:rsidP="000C0877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CA15EC" w:rsidRPr="000C0877" w:rsidRDefault="00CA15EC" w:rsidP="000C0877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C0877">
        <w:rPr>
          <w:rFonts w:ascii="Times New Roman" w:hAnsi="Times New Roman" w:cs="Times New Roman"/>
          <w:b/>
          <w:bCs/>
          <w:u w:val="single"/>
        </w:rPr>
        <w:t xml:space="preserve">316/2013. (VIII. 28.) Korm. rendelet a </w:t>
      </w:r>
      <w:proofErr w:type="spellStart"/>
      <w:r w:rsidRPr="000C0877">
        <w:rPr>
          <w:rFonts w:ascii="Times New Roman" w:hAnsi="Times New Roman" w:cs="Times New Roman"/>
          <w:b/>
          <w:bCs/>
          <w:u w:val="single"/>
        </w:rPr>
        <w:t>biocid</w:t>
      </w:r>
      <w:proofErr w:type="spellEnd"/>
      <w:r w:rsidRPr="000C0877">
        <w:rPr>
          <w:rFonts w:ascii="Times New Roman" w:hAnsi="Times New Roman" w:cs="Times New Roman"/>
          <w:b/>
          <w:bCs/>
          <w:u w:val="single"/>
        </w:rPr>
        <w:t xml:space="preserve"> termékek engedélyezésének és forgalomba hozatalának egyes szabályairól</w:t>
      </w:r>
    </w:p>
    <w:p w:rsidR="00CA15EC" w:rsidRPr="000C0877" w:rsidRDefault="00CA15EC" w:rsidP="000C087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2. §</w:t>
      </w:r>
      <w:r w:rsidRPr="000C08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C0877">
        <w:rPr>
          <w:rFonts w:ascii="Times New Roman" w:hAnsi="Times New Roman" w:cs="Times New Roman"/>
          <w:i/>
          <w:sz w:val="20"/>
          <w:szCs w:val="20"/>
        </w:rPr>
        <w:t xml:space="preserve">A hatóanyagok jóváhagyására vagy a hatóanyag jóváhagyási feltételeinek utólagos módosítására vonatkozó eljárásban az értékelő illetékes hatóság az Országos </w:t>
      </w:r>
      <w:proofErr w:type="spellStart"/>
      <w:r w:rsidRPr="000C0877">
        <w:rPr>
          <w:rFonts w:ascii="Times New Roman" w:hAnsi="Times New Roman" w:cs="Times New Roman"/>
          <w:i/>
          <w:sz w:val="20"/>
          <w:szCs w:val="20"/>
        </w:rPr>
        <w:t>Tisztifőorvosi</w:t>
      </w:r>
      <w:proofErr w:type="spellEnd"/>
      <w:r w:rsidRPr="000C0877">
        <w:rPr>
          <w:rFonts w:ascii="Times New Roman" w:hAnsi="Times New Roman" w:cs="Times New Roman"/>
          <w:i/>
          <w:sz w:val="20"/>
          <w:szCs w:val="20"/>
        </w:rPr>
        <w:t xml:space="preserve"> Hivatal (a továbbiakban: OTH).</w:t>
      </w:r>
    </w:p>
    <w:p w:rsidR="00CA15EC" w:rsidRPr="000C0877" w:rsidRDefault="00CA15EC" w:rsidP="000C087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3. §</w:t>
      </w:r>
      <w:r w:rsidRPr="000C08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C0877">
        <w:rPr>
          <w:rFonts w:ascii="Times New Roman" w:hAnsi="Times New Roman" w:cs="Times New Roman"/>
          <w:i/>
          <w:sz w:val="20"/>
          <w:szCs w:val="20"/>
        </w:rPr>
        <w:t>A hatóanyagok jóváhagyásának megújítására vonatkozó eljárásban az értékelő illetékes hatóság az OTH.</w:t>
      </w:r>
    </w:p>
    <w:p w:rsidR="00CA15EC" w:rsidRPr="000C0877" w:rsidRDefault="00CA15EC" w:rsidP="000C08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4. §</w:t>
      </w:r>
      <w:r w:rsidRPr="000C08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C0877">
        <w:rPr>
          <w:rFonts w:ascii="Times New Roman" w:hAnsi="Times New Roman" w:cs="Times New Roman"/>
          <w:i/>
          <w:sz w:val="20"/>
          <w:szCs w:val="20"/>
        </w:rPr>
        <w:t xml:space="preserve">(1) Uniós engedéllyel nem rendelkező egyedi </w:t>
      </w:r>
      <w:proofErr w:type="spellStart"/>
      <w:r w:rsidRPr="000C0877">
        <w:rPr>
          <w:rFonts w:ascii="Times New Roman" w:hAnsi="Times New Roman" w:cs="Times New Roman"/>
          <w:i/>
          <w:sz w:val="20"/>
          <w:szCs w:val="20"/>
        </w:rPr>
        <w:t>biocid</w:t>
      </w:r>
      <w:proofErr w:type="spellEnd"/>
      <w:r w:rsidRPr="000C0877">
        <w:rPr>
          <w:rFonts w:ascii="Times New Roman" w:hAnsi="Times New Roman" w:cs="Times New Roman"/>
          <w:i/>
          <w:sz w:val="20"/>
          <w:szCs w:val="20"/>
        </w:rPr>
        <w:t xml:space="preserve"> termék vagy </w:t>
      </w:r>
      <w:proofErr w:type="spellStart"/>
      <w:r w:rsidRPr="000C0877">
        <w:rPr>
          <w:rFonts w:ascii="Times New Roman" w:hAnsi="Times New Roman" w:cs="Times New Roman"/>
          <w:i/>
          <w:sz w:val="20"/>
          <w:szCs w:val="20"/>
        </w:rPr>
        <w:t>biocid</w:t>
      </w:r>
      <w:proofErr w:type="spellEnd"/>
      <w:r w:rsidRPr="000C0877">
        <w:rPr>
          <w:rFonts w:ascii="Times New Roman" w:hAnsi="Times New Roman" w:cs="Times New Roman"/>
          <w:i/>
          <w:sz w:val="20"/>
          <w:szCs w:val="20"/>
        </w:rPr>
        <w:t xml:space="preserve"> termékcsalád Magyarországon vagy annak bizonyos részén nemzeti engedély birtokában hozható forgalomba és használható fel.</w:t>
      </w:r>
    </w:p>
    <w:p w:rsidR="00CA15EC" w:rsidRPr="000C0877" w:rsidRDefault="00CA15EC" w:rsidP="000C0877">
      <w:pPr>
        <w:spacing w:before="100" w:beforeAutospacing="1" w:after="100" w:afterAutospacing="1" w:line="240" w:lineRule="auto"/>
        <w:ind w:firstLine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877">
        <w:rPr>
          <w:rFonts w:ascii="Times New Roman" w:hAnsi="Times New Roman" w:cs="Times New Roman"/>
          <w:i/>
          <w:sz w:val="20"/>
          <w:szCs w:val="20"/>
        </w:rPr>
        <w:t>(2) A nemzeti engedély, valamint a nemzeti engedély megújítása iránti kérelmet átvevő és értékelő illetékes hatóság az OTH.</w:t>
      </w:r>
    </w:p>
    <w:p w:rsidR="00CA15EC" w:rsidRPr="000C0877" w:rsidRDefault="00CA15EC" w:rsidP="000C08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0877">
        <w:rPr>
          <w:rFonts w:ascii="Times New Roman" w:hAnsi="Times New Roman" w:cs="Times New Roman"/>
          <w:bCs/>
          <w:i/>
          <w:sz w:val="20"/>
          <w:szCs w:val="20"/>
        </w:rPr>
        <w:t>10/A. §</w:t>
      </w:r>
      <w:r w:rsidRPr="000C087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C0877">
        <w:rPr>
          <w:rFonts w:ascii="Times New Roman" w:hAnsi="Times New Roman" w:cs="Times New Roman"/>
          <w:i/>
          <w:sz w:val="20"/>
          <w:szCs w:val="20"/>
        </w:rPr>
        <w:t xml:space="preserve">(1) A Kormány az 528/2012/EU európai parlamenti és tanácsi rendelet 53. cikke szerinti párhuzamos kereskedelmi engedély kiadására irányuló eljárásokban, a 414/2013/EU bizottsági végrehajtási rendelet szerinti azonos termék engedélyezésére irányuló eljárásokban, továbbá az 528/2012/EU európai parlamenti és tanácsi rendelet 56. cikke szerinti kutatás-fejlesztéssel kapcsolatos feladatok tekintetében illetékes hatóságként az </w:t>
      </w:r>
      <w:proofErr w:type="spellStart"/>
      <w:r w:rsidRPr="000C0877">
        <w:rPr>
          <w:rFonts w:ascii="Times New Roman" w:hAnsi="Times New Roman" w:cs="Times New Roman"/>
          <w:i/>
          <w:sz w:val="20"/>
          <w:szCs w:val="20"/>
        </w:rPr>
        <w:t>OTH-t</w:t>
      </w:r>
      <w:proofErr w:type="spellEnd"/>
      <w:r w:rsidRPr="000C0877">
        <w:rPr>
          <w:rFonts w:ascii="Times New Roman" w:hAnsi="Times New Roman" w:cs="Times New Roman"/>
          <w:i/>
          <w:sz w:val="20"/>
          <w:szCs w:val="20"/>
        </w:rPr>
        <w:t xml:space="preserve"> jelöli ki.</w:t>
      </w:r>
    </w:p>
    <w:p w:rsidR="00100A8D" w:rsidRPr="000C0877" w:rsidRDefault="00100A8D" w:rsidP="000C08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A15EC" w:rsidRPr="000C0877" w:rsidRDefault="00100A8D" w:rsidP="000C08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C0877">
        <w:rPr>
          <w:rFonts w:ascii="Times New Roman" w:hAnsi="Times New Roman" w:cs="Times New Roman"/>
          <w:b/>
          <w:u w:val="single"/>
        </w:rPr>
        <w:t>Az egészségügyi kártevőirtó tevékenységről és az egészségügyi kártevőirtó tevékenység engedélyezésének részletes szabályairól szóló 2/2010. (I. 26.) EüM rendelet</w:t>
      </w:r>
    </w:p>
    <w:sectPr w:rsidR="00CA15EC" w:rsidRPr="000C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20BB"/>
    <w:multiLevelType w:val="hybridMultilevel"/>
    <w:tmpl w:val="BEC2D3FE"/>
    <w:lvl w:ilvl="0" w:tplc="82A42C9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DB"/>
    <w:rsid w:val="00032080"/>
    <w:rsid w:val="000C0877"/>
    <w:rsid w:val="000F4E4A"/>
    <w:rsid w:val="00100A8D"/>
    <w:rsid w:val="001A0690"/>
    <w:rsid w:val="004C3707"/>
    <w:rsid w:val="004F7E54"/>
    <w:rsid w:val="005F5FA8"/>
    <w:rsid w:val="007C2DDB"/>
    <w:rsid w:val="0097376C"/>
    <w:rsid w:val="00A92A8A"/>
    <w:rsid w:val="00CA15EC"/>
    <w:rsid w:val="00DB09CE"/>
    <w:rsid w:val="00DB406C"/>
    <w:rsid w:val="00E416C3"/>
    <w:rsid w:val="00EF1793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B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7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4F7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4F7E5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7376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DB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F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A92A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B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7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4F7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4F7E5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7376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DB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F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A92A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gyianyag.kormany.hu/biocid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Sediqi Jázmin</dc:creator>
  <cp:lastModifiedBy>Pieskóné Soltész Gyöngyi</cp:lastModifiedBy>
  <cp:revision>4</cp:revision>
  <dcterms:created xsi:type="dcterms:W3CDTF">2015-10-28T13:03:00Z</dcterms:created>
  <dcterms:modified xsi:type="dcterms:W3CDTF">2015-10-29T20:42:00Z</dcterms:modified>
</cp:coreProperties>
</file>